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F9" w:rsidRPr="00FB1BD9" w:rsidRDefault="006878F9" w:rsidP="006878F9">
      <w:pPr>
        <w:jc w:val="center"/>
        <w:rPr>
          <w:b/>
          <w:bCs/>
          <w:sz w:val="40"/>
          <w:szCs w:val="40"/>
        </w:rPr>
      </w:pPr>
      <w:r>
        <w:rPr>
          <w:b/>
          <w:bCs/>
          <w:sz w:val="40"/>
          <w:szCs w:val="40"/>
        </w:rPr>
        <w:t xml:space="preserve">Advokát </w:t>
      </w:r>
      <w:r w:rsidRPr="00FB1BD9">
        <w:rPr>
          <w:b/>
          <w:bCs/>
          <w:sz w:val="40"/>
          <w:szCs w:val="40"/>
        </w:rPr>
        <w:t xml:space="preserve">Doc. JUDr. Zdeněk Koudelka, </w:t>
      </w:r>
      <w:proofErr w:type="spellStart"/>
      <w:r w:rsidRPr="00FB1BD9">
        <w:rPr>
          <w:b/>
          <w:bCs/>
          <w:sz w:val="40"/>
          <w:szCs w:val="40"/>
        </w:rPr>
        <w:t>Ph.D</w:t>
      </w:r>
      <w:proofErr w:type="spellEnd"/>
      <w:r w:rsidRPr="00FB1BD9">
        <w:rPr>
          <w:b/>
          <w:bCs/>
          <w:sz w:val="40"/>
          <w:szCs w:val="40"/>
        </w:rPr>
        <w:t>.</w:t>
      </w:r>
    </w:p>
    <w:p w:rsidR="006878F9" w:rsidRPr="00C93891" w:rsidRDefault="006878F9" w:rsidP="006878F9">
      <w:pPr>
        <w:spacing w:before="120"/>
        <w:jc w:val="center"/>
      </w:pPr>
      <w:r>
        <w:t xml:space="preserve">Adresa: </w:t>
      </w:r>
      <w:proofErr w:type="spellStart"/>
      <w:r>
        <w:t>Optátova</w:t>
      </w:r>
      <w:proofErr w:type="spellEnd"/>
      <w:r>
        <w:t xml:space="preserve"> 46, 637</w:t>
      </w:r>
      <w:r w:rsidRPr="00C93891">
        <w:t xml:space="preserve"> 00 Brno</w:t>
      </w:r>
    </w:p>
    <w:p w:rsidR="006878F9" w:rsidRDefault="006878F9" w:rsidP="006878F9">
      <w:pPr>
        <w:jc w:val="center"/>
      </w:pPr>
      <w:r w:rsidRPr="00C93891">
        <w:t xml:space="preserve">mobil: 774 915 919, e-mail: </w:t>
      </w:r>
      <w:hyperlink r:id="rId8" w:history="1">
        <w:r w:rsidRPr="00CE4C69">
          <w:rPr>
            <w:rStyle w:val="Hypertextovodkaz"/>
            <w:rFonts w:cs="Calibri"/>
          </w:rPr>
          <w:t>advokat@zdenekkoudelka.cz</w:t>
        </w:r>
      </w:hyperlink>
      <w:r w:rsidRPr="00C93891">
        <w:t xml:space="preserve">, </w:t>
      </w:r>
      <w:hyperlink r:id="rId9" w:history="1">
        <w:r w:rsidRPr="00C93891">
          <w:rPr>
            <w:rStyle w:val="Hypertextovodkaz"/>
            <w:rFonts w:cs="Calibri"/>
          </w:rPr>
          <w:t>www.zdenekkoudelka.cz</w:t>
        </w:r>
      </w:hyperlink>
    </w:p>
    <w:p w:rsidR="006878F9" w:rsidRDefault="006878F9" w:rsidP="006878F9">
      <w:pPr>
        <w:jc w:val="center"/>
      </w:pPr>
      <w:r w:rsidRPr="00E91DB7">
        <w:t>IČO: 63389096, evidenční číslo advokátní komory 04176</w:t>
      </w:r>
    </w:p>
    <w:p w:rsidR="006878F9" w:rsidRDefault="006878F9" w:rsidP="006878F9">
      <w:pPr>
        <w:jc w:val="center"/>
      </w:pPr>
      <w:r>
        <w:t>-----------------------------------------------------------------------------------------------------------------</w:t>
      </w:r>
    </w:p>
    <w:p w:rsidR="00D6097A" w:rsidRPr="00337910" w:rsidRDefault="00D6097A" w:rsidP="00D6726D">
      <w:pPr>
        <w:tabs>
          <w:tab w:val="left" w:pos="5760"/>
        </w:tabs>
        <w:rPr>
          <w:b/>
        </w:rPr>
      </w:pPr>
      <w:r w:rsidRPr="00337910">
        <w:tab/>
      </w:r>
      <w:r w:rsidRPr="00337910">
        <w:rPr>
          <w:b/>
        </w:rPr>
        <w:t>Ústavní soud</w:t>
      </w:r>
    </w:p>
    <w:p w:rsidR="00D6097A" w:rsidRPr="00337910" w:rsidRDefault="00301839" w:rsidP="00D6726D">
      <w:pPr>
        <w:tabs>
          <w:tab w:val="left" w:pos="5760"/>
        </w:tabs>
        <w:rPr>
          <w:b/>
        </w:rPr>
      </w:pPr>
      <w:r>
        <w:rPr>
          <w:b/>
        </w:rPr>
        <w:t>1</w:t>
      </w:r>
      <w:r w:rsidR="0095701E">
        <w:rPr>
          <w:b/>
        </w:rPr>
        <w:t>5</w:t>
      </w:r>
      <w:r w:rsidR="00AD2295">
        <w:rPr>
          <w:b/>
        </w:rPr>
        <w:t xml:space="preserve">. </w:t>
      </w:r>
      <w:r>
        <w:rPr>
          <w:b/>
        </w:rPr>
        <w:t>6</w:t>
      </w:r>
      <w:r w:rsidR="00236D8C" w:rsidRPr="00337910">
        <w:rPr>
          <w:b/>
        </w:rPr>
        <w:t>. 201</w:t>
      </w:r>
      <w:r w:rsidR="00462FF4" w:rsidRPr="00337910">
        <w:rPr>
          <w:b/>
        </w:rPr>
        <w:t>7</w:t>
      </w:r>
      <w:r w:rsidR="00D6097A" w:rsidRPr="00337910">
        <w:rPr>
          <w:b/>
        </w:rPr>
        <w:tab/>
      </w:r>
      <w:proofErr w:type="spellStart"/>
      <w:r w:rsidR="00D6097A" w:rsidRPr="00337910">
        <w:rPr>
          <w:b/>
        </w:rPr>
        <w:t>Joštova</w:t>
      </w:r>
      <w:proofErr w:type="spellEnd"/>
      <w:r w:rsidR="00D6097A" w:rsidRPr="00337910">
        <w:rPr>
          <w:b/>
        </w:rPr>
        <w:t xml:space="preserve"> 8</w:t>
      </w:r>
    </w:p>
    <w:p w:rsidR="00D6097A" w:rsidRPr="00337910" w:rsidRDefault="00D6097A" w:rsidP="00D6726D">
      <w:pPr>
        <w:tabs>
          <w:tab w:val="left" w:pos="5760"/>
        </w:tabs>
        <w:rPr>
          <w:b/>
        </w:rPr>
      </w:pPr>
      <w:r w:rsidRPr="00337910">
        <w:rPr>
          <w:b/>
        </w:rPr>
        <w:tab/>
        <w:t>660 83 Brno</w:t>
      </w:r>
    </w:p>
    <w:p w:rsidR="006571DE" w:rsidRPr="00337910" w:rsidRDefault="006571DE" w:rsidP="00124338">
      <w:pPr>
        <w:tabs>
          <w:tab w:val="left" w:pos="5760"/>
        </w:tabs>
        <w:spacing w:line="360" w:lineRule="auto"/>
        <w:rPr>
          <w:b/>
        </w:rPr>
      </w:pPr>
      <w:r w:rsidRPr="00337910">
        <w:rPr>
          <w:b/>
        </w:rPr>
        <w:tab/>
      </w:r>
      <w:proofErr w:type="spellStart"/>
      <w:proofErr w:type="gramStart"/>
      <w:r w:rsidR="00537A8C">
        <w:rPr>
          <w:b/>
        </w:rPr>
        <w:t>Pl.ÚS</w:t>
      </w:r>
      <w:proofErr w:type="spellEnd"/>
      <w:proofErr w:type="gramEnd"/>
      <w:r w:rsidR="00537A8C">
        <w:rPr>
          <w:b/>
        </w:rPr>
        <w:t xml:space="preserve"> 14/17</w:t>
      </w:r>
    </w:p>
    <w:p w:rsidR="00D6097A" w:rsidRPr="00337910" w:rsidRDefault="00D6097A" w:rsidP="00124338">
      <w:pPr>
        <w:tabs>
          <w:tab w:val="left" w:pos="5760"/>
        </w:tabs>
        <w:spacing w:line="360" w:lineRule="auto"/>
        <w:rPr>
          <w:b/>
        </w:rPr>
      </w:pPr>
    </w:p>
    <w:p w:rsidR="00FE7480" w:rsidRPr="00337910" w:rsidRDefault="00D6097A" w:rsidP="00FA7E7A">
      <w:pPr>
        <w:tabs>
          <w:tab w:val="left" w:pos="5760"/>
        </w:tabs>
        <w:spacing w:line="360" w:lineRule="auto"/>
        <w:rPr>
          <w:b/>
        </w:rPr>
      </w:pPr>
      <w:r w:rsidRPr="00337910">
        <w:rPr>
          <w:b/>
        </w:rPr>
        <w:tab/>
      </w:r>
    </w:p>
    <w:p w:rsidR="00760ED9" w:rsidRPr="00337910" w:rsidRDefault="00760ED9" w:rsidP="00D6726D">
      <w:pPr>
        <w:tabs>
          <w:tab w:val="left" w:pos="5760"/>
        </w:tabs>
        <w:rPr>
          <w:b/>
        </w:rPr>
      </w:pPr>
    </w:p>
    <w:p w:rsidR="00760ED9" w:rsidRPr="00337910" w:rsidRDefault="00760ED9" w:rsidP="00D6726D">
      <w:pPr>
        <w:tabs>
          <w:tab w:val="left" w:pos="5760"/>
        </w:tabs>
        <w:rPr>
          <w:b/>
        </w:rPr>
      </w:pPr>
    </w:p>
    <w:p w:rsidR="00D6097A" w:rsidRPr="00337910" w:rsidRDefault="00D6097A" w:rsidP="00D6726D">
      <w:pPr>
        <w:tabs>
          <w:tab w:val="left" w:pos="5760"/>
        </w:tabs>
        <w:rPr>
          <w:b/>
        </w:rPr>
      </w:pPr>
    </w:p>
    <w:p w:rsidR="00760ED9" w:rsidRPr="00337910" w:rsidRDefault="00760ED9" w:rsidP="00D6726D">
      <w:pPr>
        <w:tabs>
          <w:tab w:val="left" w:pos="5760"/>
        </w:tabs>
        <w:rPr>
          <w:b/>
        </w:rPr>
      </w:pPr>
    </w:p>
    <w:p w:rsidR="00D6097A" w:rsidRPr="003540A6" w:rsidRDefault="00BA00FC" w:rsidP="00CF3956">
      <w:pPr>
        <w:tabs>
          <w:tab w:val="left" w:pos="5760"/>
        </w:tabs>
        <w:spacing w:before="120"/>
        <w:jc w:val="center"/>
        <w:rPr>
          <w:b/>
        </w:rPr>
      </w:pPr>
      <w:r w:rsidRPr="003540A6">
        <w:rPr>
          <w:b/>
        </w:rPr>
        <w:t xml:space="preserve">Návrh na zrušení </w:t>
      </w:r>
      <w:r w:rsidR="00600B0E" w:rsidRPr="003540A6">
        <w:rPr>
          <w:b/>
        </w:rPr>
        <w:t xml:space="preserve">části </w:t>
      </w:r>
      <w:r w:rsidR="008719E3">
        <w:rPr>
          <w:b/>
        </w:rPr>
        <w:t xml:space="preserve">vyhlášky </w:t>
      </w:r>
      <w:r w:rsidR="00CF3956" w:rsidRPr="00CF3956">
        <w:rPr>
          <w:b/>
        </w:rPr>
        <w:t xml:space="preserve">Ministerstva spravedlnosti č. 330/2001 Sb., o odměně a náhradách soudního exekutora, o odměně a náhradě hotových výdajů správce podniku a o podmínkách pojištění odpovědnosti za škody způsobené exekutorem, ve znění </w:t>
      </w:r>
      <w:r w:rsidR="00CF3956">
        <w:rPr>
          <w:b/>
        </w:rPr>
        <w:t>vyhlášky č. 441/2016 Sb.</w:t>
      </w:r>
    </w:p>
    <w:p w:rsidR="00D6097A" w:rsidRDefault="00D6097A" w:rsidP="003540A6">
      <w:pPr>
        <w:tabs>
          <w:tab w:val="left" w:pos="5760"/>
        </w:tabs>
        <w:spacing w:before="120"/>
        <w:rPr>
          <w:b/>
        </w:rPr>
      </w:pPr>
    </w:p>
    <w:p w:rsidR="00436846" w:rsidRPr="003540A6" w:rsidRDefault="00436846" w:rsidP="003540A6">
      <w:pPr>
        <w:tabs>
          <w:tab w:val="left" w:pos="5760"/>
        </w:tabs>
        <w:spacing w:before="120"/>
        <w:rPr>
          <w:b/>
        </w:rPr>
      </w:pPr>
    </w:p>
    <w:p w:rsidR="006878F9" w:rsidRPr="003540A6" w:rsidRDefault="00BA00FC" w:rsidP="003540A6">
      <w:pPr>
        <w:tabs>
          <w:tab w:val="left" w:pos="1260"/>
          <w:tab w:val="left" w:pos="5760"/>
        </w:tabs>
        <w:ind w:left="1260" w:hanging="1260"/>
        <w:rPr>
          <w:b/>
        </w:rPr>
      </w:pPr>
      <w:r w:rsidRPr="003540A6">
        <w:rPr>
          <w:b/>
        </w:rPr>
        <w:t>Navrhovatel</w:t>
      </w:r>
      <w:r w:rsidR="00D6097A" w:rsidRPr="003540A6">
        <w:rPr>
          <w:b/>
        </w:rPr>
        <w:t>:</w:t>
      </w:r>
      <w:r w:rsidRPr="003540A6">
        <w:rPr>
          <w:b/>
        </w:rPr>
        <w:t xml:space="preserve"> Skupina </w:t>
      </w:r>
      <w:r w:rsidR="00E85F6F">
        <w:rPr>
          <w:b/>
        </w:rPr>
        <w:t xml:space="preserve">10 </w:t>
      </w:r>
      <w:r w:rsidR="008719E3">
        <w:rPr>
          <w:b/>
        </w:rPr>
        <w:t>senátorů</w:t>
      </w:r>
    </w:p>
    <w:p w:rsidR="006A5DD8" w:rsidRDefault="00BA00FC" w:rsidP="003540A6">
      <w:pPr>
        <w:tabs>
          <w:tab w:val="left" w:pos="1260"/>
          <w:tab w:val="left" w:pos="5760"/>
        </w:tabs>
        <w:ind w:left="1260" w:hanging="1260"/>
        <w:rPr>
          <w:b/>
        </w:rPr>
      </w:pPr>
      <w:r w:rsidRPr="003540A6">
        <w:rPr>
          <w:b/>
        </w:rPr>
        <w:tab/>
        <w:t xml:space="preserve">   Za skupinu jedná</w:t>
      </w:r>
      <w:r w:rsidR="006A5DD8">
        <w:rPr>
          <w:b/>
        </w:rPr>
        <w:t xml:space="preserve"> </w:t>
      </w:r>
      <w:r w:rsidR="008719E3">
        <w:rPr>
          <w:b/>
        </w:rPr>
        <w:t>senátor</w:t>
      </w:r>
    </w:p>
    <w:p w:rsidR="00BA00FC" w:rsidRPr="003540A6" w:rsidRDefault="006A5DD8" w:rsidP="003540A6">
      <w:pPr>
        <w:tabs>
          <w:tab w:val="left" w:pos="1260"/>
          <w:tab w:val="left" w:pos="5760"/>
        </w:tabs>
        <w:ind w:left="1260" w:hanging="1260"/>
        <w:rPr>
          <w:b/>
        </w:rPr>
      </w:pPr>
      <w:r>
        <w:rPr>
          <w:b/>
        </w:rPr>
        <w:tab/>
        <w:t xml:space="preserve">  </w:t>
      </w:r>
      <w:r w:rsidR="005602B5">
        <w:rPr>
          <w:b/>
        </w:rPr>
        <w:t xml:space="preserve"> J</w:t>
      </w:r>
      <w:r w:rsidR="00537A8C">
        <w:rPr>
          <w:b/>
        </w:rPr>
        <w:t xml:space="preserve">iří </w:t>
      </w:r>
      <w:proofErr w:type="spellStart"/>
      <w:r w:rsidR="00537A8C">
        <w:rPr>
          <w:b/>
        </w:rPr>
        <w:t>Oberfalzer</w:t>
      </w:r>
      <w:proofErr w:type="spellEnd"/>
      <w:r w:rsidR="005602B5">
        <w:rPr>
          <w:b/>
        </w:rPr>
        <w:t xml:space="preserve">, </w:t>
      </w:r>
      <w:r w:rsidR="008719E3">
        <w:rPr>
          <w:b/>
        </w:rPr>
        <w:t xml:space="preserve">Senát, </w:t>
      </w:r>
      <w:r w:rsidR="008719E3" w:rsidRPr="005602B5">
        <w:t xml:space="preserve">Valdštejnské n. 4, </w:t>
      </w:r>
      <w:proofErr w:type="gramStart"/>
      <w:r w:rsidR="008719E3" w:rsidRPr="005602B5">
        <w:t>118 01  Praha</w:t>
      </w:r>
      <w:proofErr w:type="gramEnd"/>
    </w:p>
    <w:p w:rsidR="006878F9" w:rsidRPr="003540A6" w:rsidRDefault="00F82C7F" w:rsidP="003540A6">
      <w:pPr>
        <w:ind w:left="1416"/>
        <w:jc w:val="both"/>
      </w:pPr>
      <w:r w:rsidRPr="003540A6">
        <w:rPr>
          <w:b/>
          <w:bCs/>
        </w:rPr>
        <w:t>Z</w:t>
      </w:r>
      <w:r w:rsidR="006F2A6C" w:rsidRPr="003540A6">
        <w:rPr>
          <w:b/>
          <w:bCs/>
        </w:rPr>
        <w:t>astoupen</w:t>
      </w:r>
      <w:r w:rsidR="006878F9" w:rsidRPr="003540A6">
        <w:rPr>
          <w:b/>
          <w:bCs/>
        </w:rPr>
        <w:t>: Advokát Zdeněk Koudelka</w:t>
      </w:r>
      <w:r w:rsidR="006878F9" w:rsidRPr="003540A6">
        <w:rPr>
          <w:bCs/>
        </w:rPr>
        <w:t xml:space="preserve">, </w:t>
      </w:r>
      <w:proofErr w:type="spellStart"/>
      <w:r w:rsidR="006878F9" w:rsidRPr="003540A6">
        <w:t>Optátova</w:t>
      </w:r>
      <w:proofErr w:type="spellEnd"/>
      <w:r w:rsidR="006878F9" w:rsidRPr="003540A6">
        <w:t xml:space="preserve"> 46, 637 00 Brno</w:t>
      </w:r>
    </w:p>
    <w:p w:rsidR="00B1054C" w:rsidRPr="003540A6" w:rsidRDefault="00B1054C" w:rsidP="003540A6">
      <w:pPr>
        <w:tabs>
          <w:tab w:val="left" w:pos="1260"/>
          <w:tab w:val="left" w:pos="1440"/>
          <w:tab w:val="left" w:pos="3780"/>
          <w:tab w:val="left" w:pos="5760"/>
        </w:tabs>
      </w:pPr>
    </w:p>
    <w:p w:rsidR="00D6097A" w:rsidRPr="003540A6" w:rsidRDefault="00D6097A" w:rsidP="003540A6">
      <w:pPr>
        <w:tabs>
          <w:tab w:val="left" w:pos="1260"/>
          <w:tab w:val="left" w:pos="1440"/>
          <w:tab w:val="left" w:pos="3780"/>
          <w:tab w:val="left" w:pos="5760"/>
        </w:tabs>
        <w:ind w:left="3780" w:hanging="3780"/>
      </w:pPr>
    </w:p>
    <w:p w:rsidR="006878F9" w:rsidRDefault="00FE7480" w:rsidP="003540A6">
      <w:pPr>
        <w:tabs>
          <w:tab w:val="left" w:pos="1260"/>
          <w:tab w:val="left" w:pos="1440"/>
          <w:tab w:val="left" w:pos="3780"/>
          <w:tab w:val="left" w:pos="5760"/>
        </w:tabs>
        <w:ind w:left="3780" w:hanging="3780"/>
        <w:rPr>
          <w:b/>
        </w:rPr>
      </w:pPr>
      <w:r w:rsidRPr="003540A6">
        <w:rPr>
          <w:b/>
        </w:rPr>
        <w:t>Účastní</w:t>
      </w:r>
      <w:r w:rsidR="00365FC3" w:rsidRPr="003540A6">
        <w:rPr>
          <w:b/>
        </w:rPr>
        <w:t>k</w:t>
      </w:r>
      <w:r w:rsidRPr="003540A6">
        <w:rPr>
          <w:b/>
        </w:rPr>
        <w:t xml:space="preserve"> řízení:</w:t>
      </w:r>
      <w:r w:rsidR="008719E3">
        <w:rPr>
          <w:b/>
        </w:rPr>
        <w:t xml:space="preserve"> Ministerstvo spravedlnosti</w:t>
      </w:r>
    </w:p>
    <w:p w:rsidR="008719E3" w:rsidRPr="003540A6" w:rsidRDefault="008719E3" w:rsidP="003540A6">
      <w:pPr>
        <w:tabs>
          <w:tab w:val="left" w:pos="1260"/>
          <w:tab w:val="left" w:pos="1440"/>
          <w:tab w:val="left" w:pos="3780"/>
          <w:tab w:val="left" w:pos="5760"/>
        </w:tabs>
        <w:ind w:left="3780" w:hanging="3780"/>
        <w:rPr>
          <w:b/>
        </w:rPr>
      </w:pPr>
      <w:r>
        <w:rPr>
          <w:b/>
        </w:rPr>
        <w:tab/>
      </w:r>
      <w:r>
        <w:rPr>
          <w:b/>
        </w:rPr>
        <w:tab/>
        <w:t xml:space="preserve">    Vyšehradská 16, </w:t>
      </w:r>
      <w:proofErr w:type="gramStart"/>
      <w:r>
        <w:rPr>
          <w:b/>
        </w:rPr>
        <w:t>128 10  Praha</w:t>
      </w:r>
      <w:proofErr w:type="gramEnd"/>
    </w:p>
    <w:p w:rsidR="008719E3" w:rsidRDefault="008719E3" w:rsidP="003540A6">
      <w:pPr>
        <w:tabs>
          <w:tab w:val="left" w:pos="1260"/>
          <w:tab w:val="left" w:pos="1440"/>
          <w:tab w:val="left" w:pos="5760"/>
        </w:tabs>
        <w:spacing w:before="120"/>
        <w:rPr>
          <w:b/>
        </w:rPr>
      </w:pPr>
    </w:p>
    <w:p w:rsidR="00D6097A" w:rsidRPr="003540A6" w:rsidRDefault="00D6097A" w:rsidP="003540A6">
      <w:pPr>
        <w:tabs>
          <w:tab w:val="left" w:pos="1260"/>
          <w:tab w:val="left" w:pos="1440"/>
          <w:tab w:val="left" w:pos="5760"/>
        </w:tabs>
        <w:spacing w:before="120"/>
        <w:rPr>
          <w:b/>
        </w:rPr>
      </w:pPr>
      <w:r w:rsidRPr="003540A6">
        <w:rPr>
          <w:b/>
        </w:rPr>
        <w:t>Přílohy:</w:t>
      </w:r>
    </w:p>
    <w:p w:rsidR="00B35243" w:rsidRPr="003540A6" w:rsidRDefault="00863845" w:rsidP="00BF2A57">
      <w:pPr>
        <w:pStyle w:val="Odstavecseseznamem"/>
        <w:numPr>
          <w:ilvl w:val="0"/>
          <w:numId w:val="2"/>
        </w:numPr>
        <w:tabs>
          <w:tab w:val="left" w:pos="1260"/>
          <w:tab w:val="left" w:pos="1440"/>
          <w:tab w:val="left" w:pos="5760"/>
        </w:tabs>
        <w:spacing w:before="120"/>
      </w:pPr>
      <w:r w:rsidRPr="003540A6">
        <w:t xml:space="preserve">Podpisová listina </w:t>
      </w:r>
      <w:r w:rsidR="008719E3">
        <w:t>senátorů</w:t>
      </w:r>
    </w:p>
    <w:p w:rsidR="00C600CB" w:rsidRDefault="00D6097A" w:rsidP="00BF2A57">
      <w:pPr>
        <w:pStyle w:val="Odstavecseseznamem"/>
        <w:numPr>
          <w:ilvl w:val="0"/>
          <w:numId w:val="2"/>
        </w:numPr>
        <w:tabs>
          <w:tab w:val="left" w:pos="1260"/>
          <w:tab w:val="left" w:pos="1440"/>
          <w:tab w:val="left" w:pos="5760"/>
        </w:tabs>
        <w:spacing w:before="120"/>
      </w:pPr>
      <w:r w:rsidRPr="003540A6">
        <w:t xml:space="preserve">Plná moc </w:t>
      </w:r>
    </w:p>
    <w:p w:rsidR="00FA7E7A" w:rsidRPr="008C1817" w:rsidRDefault="00AA7B09" w:rsidP="00BF2A57">
      <w:pPr>
        <w:pStyle w:val="Odstavecseseznamem"/>
        <w:numPr>
          <w:ilvl w:val="0"/>
          <w:numId w:val="2"/>
        </w:numPr>
        <w:tabs>
          <w:tab w:val="left" w:pos="1260"/>
          <w:tab w:val="left" w:pos="1440"/>
          <w:tab w:val="left" w:pos="5760"/>
        </w:tabs>
        <w:spacing w:before="120"/>
        <w:jc w:val="both"/>
      </w:pPr>
      <w:r w:rsidRPr="008C1817">
        <w:t xml:space="preserve">Srovnání odměňování soudních exekutorů a </w:t>
      </w:r>
      <w:proofErr w:type="spellStart"/>
      <w:r w:rsidRPr="008C1817">
        <w:t>insolven</w:t>
      </w:r>
      <w:r w:rsidR="00F648D7" w:rsidRPr="008C1817">
        <w:t>č</w:t>
      </w:r>
      <w:r w:rsidRPr="008C1817">
        <w:t>ních</w:t>
      </w:r>
      <w:proofErr w:type="spellEnd"/>
      <w:r w:rsidRPr="008C1817">
        <w:t xml:space="preserve"> správců</w:t>
      </w:r>
      <w:r w:rsidR="00BD5A19">
        <w:t xml:space="preserve"> – tabulka</w:t>
      </w:r>
    </w:p>
    <w:p w:rsidR="008C1817" w:rsidRDefault="008C1817" w:rsidP="00BF2A57">
      <w:pPr>
        <w:pStyle w:val="Odstavecseseznamem"/>
        <w:numPr>
          <w:ilvl w:val="0"/>
          <w:numId w:val="2"/>
        </w:numPr>
        <w:jc w:val="both"/>
      </w:pPr>
      <w:r w:rsidRPr="008C1817">
        <w:t xml:space="preserve">K (ne)možnosti srovnávání nastavení výše odměn a náhrad hotových výdajů soudních exekutorů a </w:t>
      </w:r>
      <w:proofErr w:type="spellStart"/>
      <w:r w:rsidRPr="008C1817">
        <w:t>insolvenčních</w:t>
      </w:r>
      <w:proofErr w:type="spellEnd"/>
      <w:r w:rsidRPr="008C1817">
        <w:t xml:space="preserve"> správců – mate</w:t>
      </w:r>
      <w:r w:rsidR="00BD5A19">
        <w:t>riál Ministerstva spravedlnosti</w:t>
      </w:r>
    </w:p>
    <w:p w:rsidR="00465B59" w:rsidRDefault="00C272D2" w:rsidP="00BF2A57">
      <w:pPr>
        <w:pStyle w:val="Odstavecseseznamem"/>
        <w:numPr>
          <w:ilvl w:val="0"/>
          <w:numId w:val="2"/>
        </w:numPr>
        <w:jc w:val="both"/>
      </w:pPr>
      <w:r>
        <w:t>Stanovisko</w:t>
      </w:r>
      <w:r w:rsidR="00BD5A19">
        <w:t xml:space="preserve"> NSS z 28. 7. 2016</w:t>
      </w:r>
    </w:p>
    <w:p w:rsidR="00552EAD" w:rsidRDefault="00552EAD" w:rsidP="00BF2A57">
      <w:pPr>
        <w:pStyle w:val="Odstavecseseznamem"/>
        <w:numPr>
          <w:ilvl w:val="0"/>
          <w:numId w:val="2"/>
        </w:numPr>
        <w:jc w:val="both"/>
      </w:pPr>
      <w:r>
        <w:t>Stanovisko Nejvyššího soudu</w:t>
      </w:r>
    </w:p>
    <w:p w:rsidR="00C272D2" w:rsidRPr="008C1817" w:rsidRDefault="00C272D2" w:rsidP="00BF2A57">
      <w:pPr>
        <w:pStyle w:val="Odstavecseseznamem"/>
        <w:numPr>
          <w:ilvl w:val="0"/>
          <w:numId w:val="2"/>
        </w:numPr>
        <w:jc w:val="both"/>
      </w:pPr>
      <w:r>
        <w:t xml:space="preserve">Stanovisko místopředsedy vlády </w:t>
      </w:r>
      <w:proofErr w:type="spellStart"/>
      <w:r>
        <w:t>Bělobrádka</w:t>
      </w:r>
      <w:proofErr w:type="spellEnd"/>
    </w:p>
    <w:p w:rsidR="00265FD1" w:rsidRDefault="00265FD1" w:rsidP="003540A6">
      <w:pPr>
        <w:pStyle w:val="Odstavecseseznamem"/>
        <w:tabs>
          <w:tab w:val="left" w:pos="1260"/>
          <w:tab w:val="left" w:pos="1440"/>
          <w:tab w:val="left" w:pos="5760"/>
        </w:tabs>
        <w:spacing w:before="120"/>
      </w:pPr>
    </w:p>
    <w:p w:rsidR="00465B59" w:rsidRPr="003540A6" w:rsidRDefault="00465B59" w:rsidP="003540A6">
      <w:pPr>
        <w:pStyle w:val="Odstavecseseznamem"/>
        <w:tabs>
          <w:tab w:val="left" w:pos="1260"/>
          <w:tab w:val="left" w:pos="1440"/>
          <w:tab w:val="left" w:pos="5760"/>
        </w:tabs>
        <w:spacing w:before="120"/>
      </w:pPr>
    </w:p>
    <w:p w:rsidR="009E5CA5" w:rsidRPr="003540A6" w:rsidRDefault="005C4FBC" w:rsidP="00BF2A57">
      <w:pPr>
        <w:pStyle w:val="Odstavecseseznamem"/>
        <w:numPr>
          <w:ilvl w:val="0"/>
          <w:numId w:val="1"/>
        </w:numPr>
        <w:tabs>
          <w:tab w:val="left" w:pos="1260"/>
          <w:tab w:val="left" w:pos="1440"/>
          <w:tab w:val="left" w:pos="5760"/>
        </w:tabs>
        <w:spacing w:before="120"/>
        <w:jc w:val="center"/>
        <w:rPr>
          <w:b/>
        </w:rPr>
      </w:pPr>
      <w:r w:rsidRPr="003540A6">
        <w:rPr>
          <w:b/>
        </w:rPr>
        <w:t xml:space="preserve">Předmět </w:t>
      </w:r>
      <w:r w:rsidR="00F82C7F" w:rsidRPr="003540A6">
        <w:rPr>
          <w:b/>
        </w:rPr>
        <w:t>návrhu</w:t>
      </w:r>
    </w:p>
    <w:p w:rsidR="00B3367C" w:rsidRDefault="00F82C7F" w:rsidP="003540A6">
      <w:pPr>
        <w:tabs>
          <w:tab w:val="left" w:pos="1260"/>
          <w:tab w:val="left" w:pos="1440"/>
          <w:tab w:val="left" w:pos="5760"/>
        </w:tabs>
        <w:spacing w:before="120"/>
        <w:jc w:val="both"/>
      </w:pPr>
      <w:r w:rsidRPr="003540A6">
        <w:t>Navrh</w:t>
      </w:r>
      <w:r w:rsidR="001443B1" w:rsidRPr="003540A6">
        <w:t xml:space="preserve">ujeme </w:t>
      </w:r>
      <w:r w:rsidRPr="003540A6">
        <w:t xml:space="preserve">zrušení </w:t>
      </w:r>
      <w:r w:rsidR="00C35EE2">
        <w:t xml:space="preserve">části ustanovení </w:t>
      </w:r>
      <w:r w:rsidR="00462FF4" w:rsidRPr="003540A6">
        <w:t xml:space="preserve">§ </w:t>
      </w:r>
      <w:r w:rsidR="00CF3956">
        <w:t>6 odst. 3</w:t>
      </w:r>
      <w:r w:rsidR="00C35EE2">
        <w:t xml:space="preserve"> spočívající v číslici „2 000“</w:t>
      </w:r>
      <w:r w:rsidR="00CF3956">
        <w:t xml:space="preserve">, </w:t>
      </w:r>
      <w:r w:rsidR="00C35EE2">
        <w:t xml:space="preserve">části ustanovení </w:t>
      </w:r>
      <w:r w:rsidR="00CF3956">
        <w:t xml:space="preserve">§ 11 odst. 2 </w:t>
      </w:r>
      <w:r w:rsidR="00C35EE2">
        <w:t xml:space="preserve">spočívající v číslici „2 000“ </w:t>
      </w:r>
      <w:r w:rsidR="00CF3956">
        <w:t>a § 13 odst. 3 vyhlášky</w:t>
      </w:r>
      <w:r w:rsidR="00CF3956" w:rsidRPr="00CF3956">
        <w:t xml:space="preserve"> Ministerstva spravedlnosti č. 330/2001 Sb., o odměně a náhradách soudního exekutora, o odměně a náhradě hotových </w:t>
      </w:r>
      <w:r w:rsidR="00CF3956" w:rsidRPr="00CF3956">
        <w:lastRenderedPageBreak/>
        <w:t>výdajů správce podniku a o podmínkách pojištění odpovědnosti za škody způsobené exekutorem, ve znění vyhlášky č. 441/2016 Sb.</w:t>
      </w:r>
      <w:r w:rsidR="00CF3956">
        <w:t xml:space="preserve"> </w:t>
      </w:r>
      <w:r w:rsidR="0077065E" w:rsidRPr="003540A6">
        <w:t>pro rozpor s ústavním pořádkem</w:t>
      </w:r>
      <w:r w:rsidR="00D9671D">
        <w:t xml:space="preserve"> – </w:t>
      </w:r>
      <w:r w:rsidR="00AD200D">
        <w:t>zejména</w:t>
      </w:r>
      <w:r w:rsidR="00CF3956">
        <w:t xml:space="preserve"> čl. 1 odst. 1</w:t>
      </w:r>
      <w:r w:rsidR="00B3367C">
        <w:t xml:space="preserve"> Ústavy č. 1/1993 Sb.</w:t>
      </w:r>
      <w:r w:rsidR="00CF3956">
        <w:t xml:space="preserve">, </w:t>
      </w:r>
      <w:r w:rsidR="00D9671D">
        <w:t>čl. 2 odst. 3 Ústavy</w:t>
      </w:r>
      <w:r w:rsidR="00B3367C">
        <w:t>, čl. 2 odst. 2</w:t>
      </w:r>
      <w:r w:rsidR="008C1817">
        <w:t>,</w:t>
      </w:r>
      <w:r w:rsidR="00B3367C">
        <w:t xml:space="preserve"> čl. 9 odst. 1 </w:t>
      </w:r>
      <w:r w:rsidR="008C1817">
        <w:t xml:space="preserve">a čl. 26 odst. 1 </w:t>
      </w:r>
      <w:r w:rsidR="00B3367C">
        <w:t>L</w:t>
      </w:r>
      <w:r w:rsidR="00F07877">
        <w:t>istiny základních práv a svobod a právem na legitimní očekávání.</w:t>
      </w:r>
    </w:p>
    <w:p w:rsidR="0096727F" w:rsidRDefault="00C35EE2" w:rsidP="003540A6">
      <w:pPr>
        <w:tabs>
          <w:tab w:val="left" w:pos="1260"/>
          <w:tab w:val="left" w:pos="1440"/>
          <w:tab w:val="left" w:pos="5760"/>
        </w:tabs>
        <w:spacing w:before="120"/>
        <w:jc w:val="both"/>
      </w:pPr>
      <w:r>
        <w:t>Napadená ustanovení byla změněna vyhláškou č. 441/2016 Sb. Touto vyhláškou došlo k</w:t>
      </w:r>
      <w:r w:rsidR="002F7364">
        <w:t>e</w:t>
      </w:r>
      <w:r>
        <w:t> snížení odměny a náhrady exekutora svévolným způsobem v rozsahu, že to ohrožuje výkon exekuční činnosti jakožto podstatné náležitosti demokratického právního státu.</w:t>
      </w:r>
    </w:p>
    <w:p w:rsidR="00C35EE2" w:rsidRPr="003540A6" w:rsidRDefault="00C35EE2" w:rsidP="003540A6">
      <w:pPr>
        <w:tabs>
          <w:tab w:val="left" w:pos="1260"/>
          <w:tab w:val="left" w:pos="1440"/>
          <w:tab w:val="left" w:pos="5760"/>
        </w:tabs>
        <w:spacing w:before="120"/>
        <w:jc w:val="both"/>
      </w:pPr>
    </w:p>
    <w:p w:rsidR="00E74581" w:rsidRPr="003540A6" w:rsidRDefault="00C35EE2" w:rsidP="00BF2A57">
      <w:pPr>
        <w:pStyle w:val="Odstavecseseznamem"/>
        <w:numPr>
          <w:ilvl w:val="0"/>
          <w:numId w:val="1"/>
        </w:numPr>
        <w:tabs>
          <w:tab w:val="left" w:pos="1260"/>
          <w:tab w:val="left" w:pos="1440"/>
          <w:tab w:val="left" w:pos="5760"/>
        </w:tabs>
        <w:spacing w:before="120"/>
        <w:jc w:val="center"/>
        <w:rPr>
          <w:b/>
        </w:rPr>
      </w:pPr>
      <w:r>
        <w:rPr>
          <w:b/>
        </w:rPr>
        <w:t>Exekuční činnost a právní stát</w:t>
      </w:r>
      <w:r w:rsidR="00C64828">
        <w:rPr>
          <w:b/>
        </w:rPr>
        <w:t xml:space="preserve"> – čl. 1 odst. 1 Ústavy</w:t>
      </w:r>
    </w:p>
    <w:p w:rsidR="00C35EE2" w:rsidRDefault="00146619" w:rsidP="003540A6">
      <w:pPr>
        <w:tabs>
          <w:tab w:val="left" w:pos="1260"/>
          <w:tab w:val="left" w:pos="1440"/>
          <w:tab w:val="left" w:pos="5760"/>
        </w:tabs>
        <w:spacing w:before="120"/>
        <w:jc w:val="both"/>
      </w:pPr>
      <w:r>
        <w:t xml:space="preserve">Znakem právního státu je vymahatelnost jeho norem v praxi. Pokud stát má formálně právní řád bezvadný, ale v praxi není schopen realizovat rozhodnutí orgánů veřejné moci, včetně rozhodnutí soudů o právech a povinnostech osob jako účastníků řízení, pak z hlediska materiálního není právním státem. Pakliže nemá být </w:t>
      </w:r>
      <w:r w:rsidR="000F1676">
        <w:t xml:space="preserve">fiktivní </w:t>
      </w:r>
      <w:r>
        <w:t xml:space="preserve">ustanovení čl. 1 Ústavy platné na území Čech, Moravy a Slezska, o tom </w:t>
      </w:r>
      <w:r w:rsidR="00A32340">
        <w:t xml:space="preserve">že stát je mimo jiné právním státem, pak musí zajistit vykonatelnost svých rozhodnutí a to i nedobrovolnou. Podstatou právního řádu je funkční právní řád, který je státem vytvářen, ale je jím též sám vázán. Definičním </w:t>
      </w:r>
      <w:r w:rsidR="00DD7DA2">
        <w:t>znakem</w:t>
      </w:r>
      <w:r w:rsidR="002F7364">
        <w:t xml:space="preserve"> právní normy</w:t>
      </w:r>
      <w:r w:rsidR="00A32340">
        <w:t xml:space="preserve"> je její závaznost a v případě nutnosti její vynutitelnost za užití státní moci. Je věcí státu, jako formu vykonatelnosti svých právních norem a na jejich základě vydaných individuálních právních aktů zvolí. Musí však nějakou formu zvolit a vytvořit pro její fungování příslušné podmínky.</w:t>
      </w:r>
    </w:p>
    <w:p w:rsidR="00A32340" w:rsidRDefault="00A32340" w:rsidP="003540A6">
      <w:pPr>
        <w:tabs>
          <w:tab w:val="left" w:pos="1260"/>
          <w:tab w:val="left" w:pos="1440"/>
          <w:tab w:val="left" w:pos="5760"/>
        </w:tabs>
        <w:spacing w:before="120"/>
        <w:jc w:val="both"/>
      </w:pPr>
      <w:r>
        <w:t xml:space="preserve">Náš stát přijetím exekučního řádu v roce 2001 zvolil cestu soudních exekutorů, jakožto fyzických osob aprobovaných státem, na které přenesl část státní moci. Tato cesta není nutná. Do té doby </w:t>
      </w:r>
      <w:r w:rsidR="00304B76">
        <w:t>výkon soudních a jiných rozhodnutí zajišťoval stát přímo okresními soudy a jejich vykonavateli jako státními úředníky. Nicméně v 90. letech 20. století panovala velká nespokojenost s faktickou nevykonatelností individuálních právních aktů na finanční a jiná plnění. To vedlo k celkovému oslabení chápání státu jako státu právní</w:t>
      </w:r>
      <w:r w:rsidR="00FA5D7F">
        <w:t>ho</w:t>
      </w:r>
      <w:r w:rsidR="00304B76">
        <w:t xml:space="preserve"> z pohledu faktické vymahatelnosti práva. Důvod byl spatřován i v tom, že </w:t>
      </w:r>
      <w:r w:rsidR="004F3462">
        <w:t xml:space="preserve">soudní </w:t>
      </w:r>
      <w:r w:rsidR="00304B76">
        <w:t>vykonavatelé jako státní zaměstnanci vykonávali činnost byrokraticko-administrativním způsobem bez skutečného zájmu na výsledku vykonávacího řízení a tedy bez zájmu na výkonu konkrétních soudních či jiných rozhodnutí zavazujících povinné osoby k plnění.</w:t>
      </w:r>
      <w:r w:rsidR="00FA5D7F">
        <w:t xml:space="preserve"> To ohrožovalo práva osob, ale i funkčnost podnikatelského prostředí obecně a bylo to hromadně kritizováno.</w:t>
      </w:r>
    </w:p>
    <w:p w:rsidR="00304B76" w:rsidRDefault="00304B76" w:rsidP="003540A6">
      <w:pPr>
        <w:tabs>
          <w:tab w:val="left" w:pos="1260"/>
          <w:tab w:val="left" w:pos="1440"/>
          <w:tab w:val="left" w:pos="5760"/>
        </w:tabs>
        <w:spacing w:before="120"/>
        <w:jc w:val="both"/>
      </w:pPr>
      <w:r>
        <w:t>V reakci na tento stav si stát dobrovolně zvolil přenesení této činnosti na nově ustavené soudní exekutory jako na fyzické osoby s právním a dalším odborným vzděláním, kteří budou jako p</w:t>
      </w:r>
      <w:r w:rsidR="00FA5D7F">
        <w:t>rovozovatel</w:t>
      </w:r>
      <w:r w:rsidR="008A482E">
        <w:t>é</w:t>
      </w:r>
      <w:r w:rsidR="00FA5D7F">
        <w:t xml:space="preserve"> hospodářské činnosti </w:t>
      </w:r>
      <w:r>
        <w:t>zainteresováni na výsledku exekuce</w:t>
      </w:r>
      <w:r w:rsidR="008554D6">
        <w:t>. Stát navíc tuto činnost nehradí, což mu ušetřilo ve srovnání se zabezpečením této činnosti skrze vykonavatele jako státní zaměstnance část nákladů. Je logické, že pokud stát na fyzické osoby přenáší státní moc, pak podléhají při výkonu této činnosti zvýšenému státnímu dozoru a regulaci ve srovnání s jiným</w:t>
      </w:r>
      <w:r w:rsidR="008A482E">
        <w:t>i</w:t>
      </w:r>
      <w:r w:rsidR="008554D6">
        <w:t xml:space="preserve"> podnikajícími profesemi. Nicméně ani tento dozor nesmí být svévolný a nelegitimní. Stát je povinen v rámci jim dané regulace neznemožnit ani svévolně neztížit výkon exekuční činnosti jako podst</w:t>
      </w:r>
      <w:r w:rsidR="007B2EA3">
        <w:t>atné náležitosti právního státu, jinak je porušen čl. 1 odst. 1 Ústavy.</w:t>
      </w:r>
    </w:p>
    <w:p w:rsidR="008554D6" w:rsidRDefault="008554D6" w:rsidP="003540A6">
      <w:pPr>
        <w:tabs>
          <w:tab w:val="left" w:pos="1260"/>
          <w:tab w:val="left" w:pos="1440"/>
          <w:tab w:val="left" w:pos="5760"/>
        </w:tabs>
        <w:spacing w:before="120"/>
        <w:jc w:val="both"/>
      </w:pPr>
    </w:p>
    <w:p w:rsidR="00687CD6" w:rsidRDefault="008554D6" w:rsidP="00BF2A57">
      <w:pPr>
        <w:pStyle w:val="Odstavecseseznamem"/>
        <w:keepNext/>
        <w:numPr>
          <w:ilvl w:val="0"/>
          <w:numId w:val="1"/>
        </w:numPr>
        <w:tabs>
          <w:tab w:val="left" w:pos="1260"/>
          <w:tab w:val="left" w:pos="1440"/>
          <w:tab w:val="left" w:pos="5760"/>
        </w:tabs>
        <w:spacing w:before="120"/>
        <w:ind w:left="1077" w:hanging="357"/>
        <w:jc w:val="center"/>
        <w:rPr>
          <w:b/>
        </w:rPr>
      </w:pPr>
      <w:r w:rsidRPr="008554D6">
        <w:rPr>
          <w:b/>
        </w:rPr>
        <w:t>Materiální zajištění exekuční činnosti</w:t>
      </w:r>
      <w:r w:rsidR="00C64828">
        <w:rPr>
          <w:b/>
        </w:rPr>
        <w:t xml:space="preserve"> – čl. 2 odst. </w:t>
      </w:r>
      <w:r w:rsidR="007B2EA3">
        <w:rPr>
          <w:b/>
        </w:rPr>
        <w:t>3 Ústavy a čl. 2 odst. 2 Listiny</w:t>
      </w:r>
    </w:p>
    <w:p w:rsidR="000219C2" w:rsidRPr="000219C2" w:rsidRDefault="00F354B7" w:rsidP="000219C2">
      <w:pPr>
        <w:pStyle w:val="Odstavecseseznamem"/>
        <w:keepNext/>
        <w:tabs>
          <w:tab w:val="left" w:pos="1260"/>
          <w:tab w:val="left" w:pos="1440"/>
          <w:tab w:val="left" w:pos="5760"/>
        </w:tabs>
        <w:spacing w:before="120"/>
        <w:ind w:left="0"/>
        <w:contextualSpacing w:val="0"/>
        <w:jc w:val="both"/>
      </w:pPr>
      <w:r w:rsidRPr="00687CD6">
        <w:t>Právními předpisy užívaný právní pojem odměna exekutora není vlastním ziskem exekutora, ale jde o finanční plnění, z</w:t>
      </w:r>
      <w:r w:rsidR="00E6522B">
        <w:t>e</w:t>
      </w:r>
      <w:r w:rsidRPr="00687CD6">
        <w:t xml:space="preserve"> kterého je povinen hradit veškeré náklady exekuční činnosti, </w:t>
      </w:r>
      <w:r w:rsidRPr="00687CD6">
        <w:lastRenderedPageBreak/>
        <w:t>včetně mezd zaměstnanců, sídla úřadu atd. Nejde jen o náklady jednoho konkrétního řízení a už vůbec nejde o odměnu jako částku pro osobní potřeby exekutora.</w:t>
      </w:r>
      <w:r w:rsidR="00687CD6" w:rsidRPr="00687CD6">
        <w:t xml:space="preserve"> Odměna má odrážet nikoli jen prvek sanační za vzniklou námahu, za vzniklé mzdové a provozní náklady, ale také vyrovnávat to, že soudní exekutoři mají jinou činnost zakázánu a nemohou si peníze vydělat jinak než činností exekuční s výjimkou výslovně omezených možností (umělecká, vědecká</w:t>
      </w:r>
      <w:r w:rsidR="000308BA">
        <w:t>, pedagogická, tlumočnická, znalecká</w:t>
      </w:r>
      <w:r w:rsidR="00687CD6">
        <w:t xml:space="preserve"> </w:t>
      </w:r>
      <w:r w:rsidR="00687CD6" w:rsidRPr="00687CD6">
        <w:t>činnost).</w:t>
      </w:r>
      <w:r w:rsidR="000308BA">
        <w:rPr>
          <w:rStyle w:val="Znakapoznpodarou"/>
        </w:rPr>
        <w:footnoteReference w:id="1"/>
      </w:r>
      <w:r w:rsidR="00687CD6" w:rsidRPr="00687CD6">
        <w:t xml:space="preserve"> Například </w:t>
      </w:r>
      <w:proofErr w:type="spellStart"/>
      <w:r w:rsidR="00687CD6" w:rsidRPr="00687CD6">
        <w:t>insolvenční</w:t>
      </w:r>
      <w:proofErr w:type="spellEnd"/>
      <w:r w:rsidR="00687CD6" w:rsidRPr="00687CD6">
        <w:t xml:space="preserve"> správce, může mít několik firem, funkce v orgán</w:t>
      </w:r>
      <w:r w:rsidR="000308BA">
        <w:t>ech</w:t>
      </w:r>
      <w:r w:rsidR="00687CD6" w:rsidRPr="00687CD6">
        <w:t xml:space="preserve"> společnost</w:t>
      </w:r>
      <w:r w:rsidR="000308BA">
        <w:t>í</w:t>
      </w:r>
      <w:r w:rsidR="00687CD6" w:rsidRPr="00687CD6">
        <w:t xml:space="preserve"> nebo státních strukturách. Toto znevýhodnění </w:t>
      </w:r>
      <w:r w:rsidR="00687CD6" w:rsidRPr="000219C2">
        <w:t xml:space="preserve">by měla vyrovnávat adekvátně nastavená (zvýšená) odměna. </w:t>
      </w:r>
    </w:p>
    <w:p w:rsidR="000219C2" w:rsidRPr="000219C2" w:rsidRDefault="000219C2" w:rsidP="00256D64">
      <w:pPr>
        <w:pStyle w:val="Odstavecseseznamem"/>
        <w:spacing w:before="120"/>
        <w:ind w:left="0"/>
        <w:contextualSpacing w:val="0"/>
        <w:jc w:val="both"/>
      </w:pPr>
      <w:r w:rsidRPr="000219C2">
        <w:t>Odměna má pokrývat i možnost budoucí alokace části příjmů pro tvorbu fondu na výplatu odstupného zaměstnancům při skončení činnosti soudního exekutora, na uskladnění spisového materiálu, budoucí alokace části příjmů na inovace, které jsou pilířem nynějšího konkurenčního uspořádání mezi soudními exekutory. Odměna má pokrývat i možnost tvorby rezerv pro případ, že exekutorem uvolněný exekutorský úřad nebude obsazen (nájem za skladovací prostory, zvýšené mzdové i materiální náklady za správu spisů, archivaci a ad hoc předávání spisů nově pověřeným exekutorům dlouho poté, co exekutorovi zanikne výkon úřadu).</w:t>
      </w:r>
    </w:p>
    <w:p w:rsidR="00FA32AD" w:rsidRDefault="000219C2" w:rsidP="00FA32AD">
      <w:pPr>
        <w:pStyle w:val="Odstavecseseznamem"/>
        <w:spacing w:before="120"/>
        <w:ind w:left="0"/>
        <w:contextualSpacing w:val="0"/>
        <w:jc w:val="both"/>
      </w:pPr>
      <w:r w:rsidRPr="000219C2">
        <w:t xml:space="preserve">Odměna má odrážet i </w:t>
      </w:r>
      <w:r w:rsidR="00256D64">
        <w:t xml:space="preserve">odpovědnost exekutora, </w:t>
      </w:r>
      <w:r w:rsidR="00E6522B">
        <w:t>včetně odpovědnosti kárné, kde může</w:t>
      </w:r>
      <w:r w:rsidR="00256D64">
        <w:t xml:space="preserve"> </w:t>
      </w:r>
      <w:r w:rsidRPr="000219C2">
        <w:t>v </w:t>
      </w:r>
      <w:proofErr w:type="spellStart"/>
      <w:r w:rsidRPr="000219C2">
        <w:t>jednoinstančním</w:t>
      </w:r>
      <w:proofErr w:type="spellEnd"/>
      <w:r w:rsidRPr="000219C2">
        <w:t xml:space="preserve"> kárném řízení dokonce i za nepřímé zavinění, jehož se dopustí zaměstnanec</w:t>
      </w:r>
      <w:r w:rsidR="00256D64">
        <w:t xml:space="preserve"> exekutora</w:t>
      </w:r>
      <w:r w:rsidRPr="000219C2">
        <w:t xml:space="preserve">, </w:t>
      </w:r>
      <w:r w:rsidR="00E6522B">
        <w:t xml:space="preserve">vzniknout </w:t>
      </w:r>
      <w:r w:rsidRPr="000219C2">
        <w:t xml:space="preserve">kárná sankce v podobě pokuty až 5 </w:t>
      </w:r>
      <w:r w:rsidR="00256D64">
        <w:t xml:space="preserve">000 </w:t>
      </w:r>
      <w:proofErr w:type="spellStart"/>
      <w:r w:rsidR="00256D64">
        <w:t>000</w:t>
      </w:r>
      <w:proofErr w:type="spellEnd"/>
      <w:r w:rsidR="00256D64">
        <w:t xml:space="preserve"> Kč</w:t>
      </w:r>
      <w:r w:rsidRPr="000219C2">
        <w:t xml:space="preserve">. V porovnání s tím je ve </w:t>
      </w:r>
      <w:proofErr w:type="spellStart"/>
      <w:r w:rsidRPr="000219C2">
        <w:t>dvojinstančním</w:t>
      </w:r>
      <w:proofErr w:type="spellEnd"/>
      <w:r w:rsidRPr="000219C2">
        <w:t xml:space="preserve"> trestním řízení taková pokuta udělována jen za výrazné majetkové delikty. Nepoměr výše sankce a výše příjmu je znám například v kauze </w:t>
      </w:r>
      <w:proofErr w:type="spellStart"/>
      <w:r w:rsidRPr="000219C2">
        <w:t>Tetzeliová</w:t>
      </w:r>
      <w:proofErr w:type="spellEnd"/>
      <w:r w:rsidRPr="000219C2">
        <w:t xml:space="preserve">, kdy udělená pokuta měla na kárně odsouzenou dvojí dopad – primární byla sankce, kterou vzhledem ke svým příjmům nemohla zaplatit, sekundární dopad byl ukončení činnosti soudního exekutora, neboť neplnění závazků je kárným proviněním exekutora. </w:t>
      </w:r>
      <w:r w:rsidR="005F6A4E">
        <w:t>Pro porovnání n</w:t>
      </w:r>
      <w:r w:rsidRPr="000219C2">
        <w:t>ejvyšší pokut</w:t>
      </w:r>
      <w:r w:rsidR="005F6A4E">
        <w:t>a</w:t>
      </w:r>
      <w:r w:rsidRPr="000219C2">
        <w:t xml:space="preserve"> advokátům činí 1 100 000 Kč</w:t>
      </w:r>
      <w:r w:rsidR="00256D64" w:rsidRPr="008E761A">
        <w:t>.</w:t>
      </w:r>
      <w:r w:rsidR="00256D64" w:rsidRPr="008E761A">
        <w:rPr>
          <w:rStyle w:val="Znakapoznpodarou"/>
        </w:rPr>
        <w:footnoteReference w:id="2"/>
      </w:r>
      <w:r w:rsidR="00256D64" w:rsidRPr="008E761A">
        <w:t xml:space="preserve"> Do 1. 7. 2017 byla</w:t>
      </w:r>
      <w:r w:rsidR="00256D64">
        <w:t xml:space="preserve"> </w:t>
      </w:r>
      <w:r w:rsidRPr="000219C2">
        <w:t xml:space="preserve">u </w:t>
      </w:r>
      <w:proofErr w:type="spellStart"/>
      <w:r w:rsidRPr="000219C2">
        <w:t>insolvenčních</w:t>
      </w:r>
      <w:proofErr w:type="spellEnd"/>
      <w:r w:rsidRPr="000219C2">
        <w:t xml:space="preserve"> správců </w:t>
      </w:r>
      <w:r w:rsidR="00256D64">
        <w:t xml:space="preserve">nejvyšší možná pokuta </w:t>
      </w:r>
      <w:r w:rsidRPr="000219C2">
        <w:t xml:space="preserve">200 000 Kč, což je výše plnění získaného </w:t>
      </w:r>
      <w:proofErr w:type="spellStart"/>
      <w:r w:rsidRPr="000219C2">
        <w:t>insolvenčním</w:t>
      </w:r>
      <w:proofErr w:type="spellEnd"/>
      <w:r w:rsidRPr="000219C2">
        <w:t xml:space="preserve"> správcem jako odměn</w:t>
      </w:r>
      <w:r w:rsidR="00256D64">
        <w:t>a</w:t>
      </w:r>
      <w:r w:rsidRPr="000219C2">
        <w:t xml:space="preserve"> od státu za 4 </w:t>
      </w:r>
      <w:r w:rsidR="00256D64">
        <w:t xml:space="preserve">bezvýsledná </w:t>
      </w:r>
      <w:proofErr w:type="spellStart"/>
      <w:r w:rsidR="00256D64">
        <w:t>insolvenční</w:t>
      </w:r>
      <w:proofErr w:type="spellEnd"/>
      <w:r w:rsidR="00256D64">
        <w:t xml:space="preserve"> řízení.</w:t>
      </w:r>
      <w:r w:rsidR="00256D64">
        <w:rPr>
          <w:rStyle w:val="Znakapoznpodarou"/>
        </w:rPr>
        <w:footnoteReference w:id="3"/>
      </w:r>
    </w:p>
    <w:p w:rsidR="008554D6" w:rsidRPr="000308BA" w:rsidRDefault="00C64828" w:rsidP="00FA32AD">
      <w:pPr>
        <w:pStyle w:val="Odstavecseseznamem"/>
        <w:spacing w:before="120"/>
        <w:ind w:left="0"/>
        <w:contextualSpacing w:val="0"/>
        <w:jc w:val="both"/>
        <w:rPr>
          <w:b/>
        </w:rPr>
      </w:pPr>
      <w:r w:rsidRPr="000308BA">
        <w:t>V rámci státní regulace patří odměna a náhrada nákladů soudního exekutora za jeho exekutorskou činnost mezi státem regulované ceny. To je samo o s</w:t>
      </w:r>
      <w:r w:rsidR="00FE1205">
        <w:t>obě s</w:t>
      </w:r>
      <w:r w:rsidRPr="000308BA">
        <w:t xml:space="preserve">právné, jelikož jde o výkon státní moci přenesené státem na fyzické podnikající osoby. Ovšem tyto regulované ceny nesmí být </w:t>
      </w:r>
      <w:r w:rsidR="007B2EA3" w:rsidRPr="000308BA">
        <w:t>pro výkon profese likvidační. Nemohou být však ani takové, které by nezajistily dlouhodobou udržitelnost exekuční činnosti. Nesmí být tedy stanoveny svévolně, ale v rámci pravidla, že státní moc slouží všem občanům, jinak je poru</w:t>
      </w:r>
      <w:r w:rsidR="00FE1205">
        <w:t>š</w:t>
      </w:r>
      <w:r w:rsidR="007B2EA3" w:rsidRPr="000308BA">
        <w:t>en čl. 2 odst. 3 Ústavy a čl. 2 odst. 2 Listiny. Je povinností státní moci sloužit i těm občanům, kterým jejich dlužníci upírají soudem uznané či stanovené plnění – například na výživném či náhradě škody – a tak je někdy staví do chudoby či druhotné platební neschopnosti s možností insolvence.</w:t>
      </w:r>
      <w:r w:rsidR="00897229" w:rsidRPr="000308BA">
        <w:t xml:space="preserve"> </w:t>
      </w:r>
      <w:r w:rsidR="000308BA" w:rsidRPr="000308BA">
        <w:t>Například v</w:t>
      </w:r>
      <w:r w:rsidR="00897229" w:rsidRPr="000308BA">
        <w:t xml:space="preserve"> případě soudního exekutora je tato </w:t>
      </w:r>
      <w:r w:rsidR="000308BA" w:rsidRPr="000308BA">
        <w:t xml:space="preserve">sociálně pečovatelská </w:t>
      </w:r>
      <w:r w:rsidR="00897229" w:rsidRPr="000308BA">
        <w:t>povinnost státu přenesena na soukromý subjekt zákazem požadovat při exekuci k vymožení výživného pro nezletilé dítě zálohu na náklady exekuce. Je-li taková exekuce bezvýsledná, není jiné cesty, než marně vynaložené náklady hradit z odměny získané v jiném řízení.</w:t>
      </w:r>
    </w:p>
    <w:p w:rsidR="00AA7B09" w:rsidRDefault="007B2EA3" w:rsidP="008554D6">
      <w:pPr>
        <w:tabs>
          <w:tab w:val="left" w:pos="1260"/>
          <w:tab w:val="left" w:pos="1440"/>
          <w:tab w:val="left" w:pos="5760"/>
        </w:tabs>
        <w:spacing w:before="120"/>
        <w:jc w:val="both"/>
      </w:pPr>
      <w:r>
        <w:t>Přitom do nutných materiálních nákladů na činnost soudních exekutorů a jejich úřadů je nutné započíst částky, které zajišťují dlouhodobou udržitelnost činnosti.</w:t>
      </w:r>
      <w:r w:rsidR="00FA5D7F">
        <w:t xml:space="preserve"> Je nežádoucí</w:t>
      </w:r>
      <w:r w:rsidR="00C44470">
        <w:t xml:space="preserve"> takový stav, kdy exekutoři budou rušit nutné investice do dlouhodobého majetku s tím, že budou udržovat nutné technické zařízení v činnosti, byť je již dávno za morální i technickou hranicí </w:t>
      </w:r>
      <w:r w:rsidR="00C44470">
        <w:lastRenderedPageBreak/>
        <w:t>životnosti, nebo budou fungovat exekutoři před důchodem, kteří se při omezení investic soustředí na využití svého vybudovaného úřadu a dosloužení do hranice důchodového věku, a jejich místa pak již nebudou chtít obsadit noví nástupci. Státní regulace ceny za exekuční činnost chrání osoby před nedůvodným růstem cen, ale na druhé straně také musí chránit soudní exekutory poskytující exekuční činnost před</w:t>
      </w:r>
      <w:r w:rsidR="00FA5D7F">
        <w:t>,</w:t>
      </w:r>
      <w:r w:rsidR="00C44470">
        <w:t xml:space="preserve"> obrazně řečeno</w:t>
      </w:r>
      <w:r w:rsidR="00FA5D7F">
        <w:t>,</w:t>
      </w:r>
      <w:r w:rsidR="00C44470">
        <w:t xml:space="preserve"> vyhladověním.</w:t>
      </w:r>
      <w:r w:rsidR="00AA7B09">
        <w:t xml:space="preserve"> Přitom stát musí mít na zřeteli i územní dostupnost exekuční činnosti. Je logické, že v Praze se soustřeďuje vymáhání velkých pohledávek, neboť jsou zde sídla celostátních velkých společností a vymáhání malých pohledávek nemá pro činnost exekutorského úřadu význam. Na druhé straně jsou venkovské okresy, kde </w:t>
      </w:r>
      <w:r w:rsidR="00FA5D7F">
        <w:t xml:space="preserve">je </w:t>
      </w:r>
      <w:r w:rsidR="00AA7B09">
        <w:t>významně vyšší agenda malých pohledávek fyzických osob</w:t>
      </w:r>
      <w:r w:rsidR="00FA5D7F">
        <w:t xml:space="preserve"> a</w:t>
      </w:r>
      <w:r w:rsidR="00AA7B09">
        <w:t xml:space="preserve"> kde má napadená vyhláška </w:t>
      </w:r>
      <w:r w:rsidR="00FA5D7F">
        <w:t xml:space="preserve">vyšší </w:t>
      </w:r>
      <w:r w:rsidR="00AA7B09">
        <w:t>dopad.</w:t>
      </w:r>
    </w:p>
    <w:p w:rsidR="00C44470" w:rsidRDefault="00C44470" w:rsidP="008554D6">
      <w:pPr>
        <w:tabs>
          <w:tab w:val="left" w:pos="1260"/>
          <w:tab w:val="left" w:pos="1440"/>
          <w:tab w:val="left" w:pos="5760"/>
        </w:tabs>
        <w:spacing w:before="120"/>
        <w:jc w:val="both"/>
      </w:pPr>
      <w:r>
        <w:t>Exekutorská činnost není u povinných populární a zvláště před volbami je logické, ž</w:t>
      </w:r>
      <w:r w:rsidR="00D759E7">
        <w:t>e někteří nezodpovědní politici</w:t>
      </w:r>
      <w:r>
        <w:t xml:space="preserve"> se mohou zalíbit voličům tím, že budou shánět pozitivní body na úkor nepopulárních činností a osob. Ale tento přístup nelze akceptovat, pokud jde o činnosti zajišťující chod státu. V historickém srovnání řečeno. Žá</w:t>
      </w:r>
      <w:r w:rsidR="00CA0E6F">
        <w:t>dná společnost neměla dříve ráda</w:t>
      </w:r>
      <w:r>
        <w:t xml:space="preserve"> své katy, ale žádný </w:t>
      </w:r>
      <w:r w:rsidR="00CA0E6F">
        <w:t xml:space="preserve">kat </w:t>
      </w:r>
      <w:r>
        <w:t xml:space="preserve">nevykonával exekuci na popravišti ze své libovůle, ale protože mu </w:t>
      </w:r>
      <w:r w:rsidR="00CA0E6F">
        <w:t>to nařídil soud a protože byl za to držitelem vrchnostenské moci placen.</w:t>
      </w:r>
    </w:p>
    <w:p w:rsidR="007B2EA3" w:rsidRPr="00841516" w:rsidRDefault="0011464B" w:rsidP="00841516">
      <w:pPr>
        <w:tabs>
          <w:tab w:val="left" w:pos="1260"/>
          <w:tab w:val="left" w:pos="1440"/>
          <w:tab w:val="left" w:pos="5760"/>
        </w:tabs>
        <w:spacing w:before="120"/>
        <w:jc w:val="both"/>
      </w:pPr>
      <w:r>
        <w:t>V</w:t>
      </w:r>
      <w:r w:rsidR="00CA0E6F" w:rsidRPr="001240C0">
        <w:t xml:space="preserve">yhláška č. 441/2016 Sb. nabývá účinnosti 1. 4. 2017, tedy asi pět měsíců před volbami do Poslanecké sněmovny. </w:t>
      </w:r>
      <w:r>
        <w:t>Nelze vyloučit, že m</w:t>
      </w:r>
      <w:r w:rsidR="00CA0E6F" w:rsidRPr="001240C0">
        <w:t xml:space="preserve">inistr spravedlnosti </w:t>
      </w:r>
      <w:r w:rsidR="001240C0">
        <w:t xml:space="preserve">JUDr. </w:t>
      </w:r>
      <w:r w:rsidR="00CA0E6F" w:rsidRPr="001240C0">
        <w:t>R</w:t>
      </w:r>
      <w:r w:rsidR="00C44470" w:rsidRPr="001240C0">
        <w:t>obert</w:t>
      </w:r>
      <w:r w:rsidR="00CA0E6F" w:rsidRPr="001240C0">
        <w:t xml:space="preserve"> Pelikán</w:t>
      </w:r>
      <w:r w:rsidR="001240C0">
        <w:t xml:space="preserve">, </w:t>
      </w:r>
      <w:proofErr w:type="spellStart"/>
      <w:r w:rsidR="001240C0">
        <w:t>Ph.D</w:t>
      </w:r>
      <w:proofErr w:type="spellEnd"/>
      <w:r w:rsidR="001240C0">
        <w:t>.,</w:t>
      </w:r>
      <w:r w:rsidR="00CA0E6F" w:rsidRPr="001240C0">
        <w:t xml:space="preserve"> tak </w:t>
      </w:r>
      <w:r>
        <w:t xml:space="preserve">svým záměrem </w:t>
      </w:r>
      <w:r w:rsidR="00F67CDC" w:rsidRPr="001240C0">
        <w:t>stanovit účinnost právního předpisu, který využívá neoblíbenosti exekutorů ve společnosti a tedy i mezi voliči</w:t>
      </w:r>
      <w:r w:rsidR="00D759E7" w:rsidRPr="001240C0">
        <w:t>,</w:t>
      </w:r>
      <w:r>
        <w:t xml:space="preserve"> sleduje spíše politické než právní záměry</w:t>
      </w:r>
      <w:r w:rsidR="00F67CDC" w:rsidRPr="001240C0">
        <w:t xml:space="preserve"> </w:t>
      </w:r>
      <w:r>
        <w:t xml:space="preserve">- </w:t>
      </w:r>
      <w:r w:rsidR="00F67CDC" w:rsidRPr="001240C0">
        <w:t xml:space="preserve">a to i za cenu ohrožení </w:t>
      </w:r>
      <w:r>
        <w:t>exekuční</w:t>
      </w:r>
      <w:r w:rsidRPr="001240C0">
        <w:t xml:space="preserve"> </w:t>
      </w:r>
      <w:r w:rsidR="00F67CDC" w:rsidRPr="001240C0">
        <w:t>činnosti jako podstatné náležitosti právního státu.</w:t>
      </w:r>
    </w:p>
    <w:p w:rsidR="00C170ED" w:rsidRPr="00841516" w:rsidRDefault="00C170ED" w:rsidP="00841516">
      <w:pPr>
        <w:spacing w:before="120"/>
        <w:jc w:val="both"/>
      </w:pPr>
      <w:r w:rsidRPr="00841516">
        <w:t>Z mezinárodního hlediska lze odkázat na</w:t>
      </w:r>
      <w:r w:rsidR="00841516" w:rsidRPr="00841516">
        <w:t xml:space="preserve"> Mezinárodní kodex exekucí, který stanoví: </w:t>
      </w:r>
      <w:r w:rsidR="00841516" w:rsidRPr="00841516">
        <w:rPr>
          <w:i/>
        </w:rPr>
        <w:t>„</w:t>
      </w:r>
      <w:r w:rsidRPr="00841516">
        <w:rPr>
          <w:i/>
        </w:rPr>
        <w:t>Státy musí zajistit, aby tyto náklady exekuce byly fixní, předvídatelné, transparentní a přiměřené.</w:t>
      </w:r>
      <w:r w:rsidR="00841516" w:rsidRPr="00841516">
        <w:rPr>
          <w:i/>
        </w:rPr>
        <w:t>“</w:t>
      </w:r>
      <w:r w:rsidR="00841516" w:rsidRPr="00841516">
        <w:t>.</w:t>
      </w:r>
      <w:r w:rsidR="00841516" w:rsidRPr="00841516">
        <w:rPr>
          <w:rStyle w:val="Znakapoznpodarou"/>
        </w:rPr>
        <w:footnoteReference w:id="4"/>
      </w:r>
      <w:r w:rsidR="00841516">
        <w:t xml:space="preserve"> Uvedený pramen sice není závazným právním předpisem či normou mezinárodního práva veřejného, ale lze jej využít jako podpůrný výkladový nástroj. Dokazuje, že obecně se uznává povinnost státu zajistit předvídatelné a fixní náklady exekuce. Napadené ustanovení právního předpisu je s tímto požadavkem v rozporu.</w:t>
      </w:r>
    </w:p>
    <w:p w:rsidR="00C35EE2" w:rsidRPr="00841516" w:rsidRDefault="00C35EE2" w:rsidP="003540A6">
      <w:pPr>
        <w:tabs>
          <w:tab w:val="left" w:pos="1260"/>
          <w:tab w:val="left" w:pos="1440"/>
          <w:tab w:val="left" w:pos="5760"/>
        </w:tabs>
        <w:spacing w:before="120"/>
        <w:jc w:val="both"/>
      </w:pPr>
    </w:p>
    <w:p w:rsidR="00F67CDC" w:rsidRPr="00F67CDC" w:rsidRDefault="002A7FF4" w:rsidP="00BF2A57">
      <w:pPr>
        <w:pStyle w:val="Odstavecseseznamem"/>
        <w:keepNext/>
        <w:numPr>
          <w:ilvl w:val="0"/>
          <w:numId w:val="1"/>
        </w:numPr>
        <w:tabs>
          <w:tab w:val="left" w:pos="1260"/>
          <w:tab w:val="left" w:pos="1440"/>
          <w:tab w:val="left" w:pos="5760"/>
        </w:tabs>
        <w:spacing w:before="120"/>
        <w:ind w:left="1077" w:hanging="357"/>
        <w:jc w:val="center"/>
        <w:rPr>
          <w:b/>
        </w:rPr>
      </w:pPr>
      <w:r>
        <w:rPr>
          <w:b/>
        </w:rPr>
        <w:t>Výše</w:t>
      </w:r>
      <w:r w:rsidR="00F67CDC" w:rsidRPr="00F67CDC">
        <w:rPr>
          <w:b/>
        </w:rPr>
        <w:t xml:space="preserve"> odměny a náhrady nákladů exekutora</w:t>
      </w:r>
    </w:p>
    <w:p w:rsidR="00EA2870" w:rsidRDefault="002A7FF4" w:rsidP="00F67CDC">
      <w:pPr>
        <w:tabs>
          <w:tab w:val="left" w:pos="1260"/>
          <w:tab w:val="left" w:pos="1440"/>
          <w:tab w:val="left" w:pos="5760"/>
        </w:tabs>
        <w:spacing w:before="120"/>
        <w:jc w:val="both"/>
      </w:pPr>
      <w:r>
        <w:t>Vyhláška č. 441/2016 Sb. snížila ve stanovených případech odměnu</w:t>
      </w:r>
      <w:r w:rsidR="00FD0068">
        <w:t xml:space="preserve"> exekutora </w:t>
      </w:r>
      <w:r>
        <w:t>(</w:t>
      </w:r>
      <w:r w:rsidR="00FD0068">
        <w:t xml:space="preserve">§ 6 odst. 3 </w:t>
      </w:r>
      <w:r>
        <w:t>minimální výše odměny</w:t>
      </w:r>
      <w:r w:rsidR="00FD0068">
        <w:t>, § 11 odst. 2</w:t>
      </w:r>
      <w:r>
        <w:t xml:space="preserve"> odměna při zániku oprávnění exekutora k exekuci)</w:t>
      </w:r>
      <w:r w:rsidR="00FD0068">
        <w:t xml:space="preserve"> z 3 000 na 2 000 Kč. Tento krok Ministerstva spravedlnosti je neodůvodněný a svévolný. Výše 3 000 Kč v těchto případech byla zakotvena již v původním znění vyhlášky č. 330/2001 Sb. s účinností od 18. 9. 2001. </w:t>
      </w:r>
      <w:r w:rsidR="00FD0068" w:rsidRPr="00704621">
        <w:t>Ministerstvo spravedlnosti přistoupilo ke změně s účinností po 16 letech</w:t>
      </w:r>
      <w:r w:rsidR="00315041" w:rsidRPr="00704621">
        <w:t xml:space="preserve">, když původní úprava byla účinná </w:t>
      </w:r>
      <w:r w:rsidR="00EA2870" w:rsidRPr="00704621">
        <w:t xml:space="preserve">za různých vlád pravicových i levicových. </w:t>
      </w:r>
    </w:p>
    <w:p w:rsidR="00075A86" w:rsidRDefault="00EA2870" w:rsidP="00F67CDC">
      <w:pPr>
        <w:tabs>
          <w:tab w:val="left" w:pos="1260"/>
          <w:tab w:val="left" w:pos="1440"/>
          <w:tab w:val="left" w:pos="5760"/>
        </w:tabs>
        <w:spacing w:before="120"/>
        <w:jc w:val="both"/>
      </w:pPr>
      <w:r>
        <w:t>P</w:t>
      </w:r>
      <w:r w:rsidR="00FD0068">
        <w:t xml:space="preserve">ůvodní úprava byla </w:t>
      </w:r>
      <w:r w:rsidR="00075A86">
        <w:t xml:space="preserve">platná </w:t>
      </w:r>
      <w:r w:rsidR="00FD0068">
        <w:t>velmi d</w:t>
      </w:r>
      <w:r w:rsidR="00075A86">
        <w:t>louhodobě a snížena byla o jednu třetinu, tedy razantně. Takové razantní snížení by bylo odůvodnitelné, pokud by např. obecně výdělková situace byla ve státě podstatně změněna a tedy mzdy i další plnění klesly o jednu třetinu. To se však nestalo.</w:t>
      </w:r>
    </w:p>
    <w:p w:rsidR="002E6DF6" w:rsidRDefault="00075A86" w:rsidP="00F67CDC">
      <w:pPr>
        <w:tabs>
          <w:tab w:val="left" w:pos="1260"/>
          <w:tab w:val="left" w:pos="1440"/>
          <w:tab w:val="left" w:pos="5760"/>
        </w:tabs>
        <w:spacing w:before="120"/>
        <w:jc w:val="both"/>
      </w:pPr>
      <w:r>
        <w:t xml:space="preserve">V roce 2001 byla měsíční minimální mzda </w:t>
      </w:r>
      <w:r w:rsidR="00EA2870">
        <w:t xml:space="preserve">5 000 </w:t>
      </w:r>
      <w:r>
        <w:t>Kč.</w:t>
      </w:r>
      <w:r w:rsidR="00EA2870">
        <w:rPr>
          <w:rStyle w:val="Znakapoznpodarou"/>
        </w:rPr>
        <w:footnoteReference w:id="5"/>
      </w:r>
      <w:r>
        <w:t xml:space="preserve"> V roce 2017 </w:t>
      </w:r>
      <w:r w:rsidR="00EA2870">
        <w:t>byla</w:t>
      </w:r>
      <w:r>
        <w:t xml:space="preserve"> </w:t>
      </w:r>
      <w:r w:rsidR="002E6DF6">
        <w:t xml:space="preserve">11 000 </w:t>
      </w:r>
      <w:r>
        <w:t>Kč.</w:t>
      </w:r>
      <w:r w:rsidR="002E6DF6">
        <w:rPr>
          <w:rStyle w:val="Znakapoznpodarou"/>
        </w:rPr>
        <w:footnoteReference w:id="6"/>
      </w:r>
      <w:r w:rsidR="0099308F">
        <w:t xml:space="preserve"> Tedy </w:t>
      </w:r>
      <w:r w:rsidR="0099308F" w:rsidRPr="0099308F">
        <w:rPr>
          <w:b/>
        </w:rPr>
        <w:t>nárůst vůči roku 2001 byl 220%.</w:t>
      </w:r>
    </w:p>
    <w:p w:rsidR="002E6DF6" w:rsidRDefault="000A2A3D" w:rsidP="00F67CDC">
      <w:pPr>
        <w:tabs>
          <w:tab w:val="left" w:pos="1260"/>
          <w:tab w:val="left" w:pos="1440"/>
          <w:tab w:val="left" w:pos="5760"/>
        </w:tabs>
        <w:spacing w:before="120"/>
        <w:jc w:val="both"/>
      </w:pPr>
      <w:r>
        <w:lastRenderedPageBreak/>
        <w:t xml:space="preserve">Průměrná měsíční </w:t>
      </w:r>
      <w:r w:rsidR="002E6DF6">
        <w:t xml:space="preserve">mzda </w:t>
      </w:r>
      <w:r>
        <w:t>v</w:t>
      </w:r>
      <w:r w:rsidR="002E6DF6">
        <w:t> červnu 2001 byla 13 730</w:t>
      </w:r>
      <w:r>
        <w:t xml:space="preserve"> Kč</w:t>
      </w:r>
      <w:r w:rsidR="002E6DF6">
        <w:t xml:space="preserve"> a v červnu 2016 byla 26 898 Kč</w:t>
      </w:r>
      <w:r>
        <w:t>.</w:t>
      </w:r>
      <w:r w:rsidR="002E6DF6">
        <w:t xml:space="preserve"> Tedy </w:t>
      </w:r>
      <w:r w:rsidR="002E6DF6" w:rsidRPr="00EA2870">
        <w:rPr>
          <w:b/>
        </w:rPr>
        <w:t>nárůst vůči roku 2001 byl 196%</w:t>
      </w:r>
      <w:r w:rsidR="002E6DF6">
        <w:t>.</w:t>
      </w:r>
      <w:r w:rsidR="002E6DF6">
        <w:rPr>
          <w:rStyle w:val="Znakapoznpodarou"/>
        </w:rPr>
        <w:footnoteReference w:id="7"/>
      </w:r>
      <w:r w:rsidR="002E6DF6">
        <w:t xml:space="preserve"> Čísla jsou za podnikatelskou sféru, ale obdobný vývoj byl v </w:t>
      </w:r>
      <w:proofErr w:type="spellStart"/>
      <w:r w:rsidR="002E6DF6">
        <w:t>nepodnikatelské</w:t>
      </w:r>
      <w:proofErr w:type="spellEnd"/>
      <w:r w:rsidR="002E6DF6">
        <w:t xml:space="preserve"> sféře.</w:t>
      </w:r>
    </w:p>
    <w:p w:rsidR="00D540F7" w:rsidRDefault="000A2A3D" w:rsidP="00F67CDC">
      <w:pPr>
        <w:tabs>
          <w:tab w:val="left" w:pos="1260"/>
          <w:tab w:val="left" w:pos="1440"/>
          <w:tab w:val="left" w:pos="5760"/>
        </w:tabs>
        <w:spacing w:before="120"/>
        <w:jc w:val="both"/>
      </w:pPr>
      <w:r w:rsidRPr="00704621">
        <w:t xml:space="preserve">Platová základna </w:t>
      </w:r>
      <w:r w:rsidR="00D540F7" w:rsidRPr="00704621">
        <w:t>představitelů státní moci, z</w:t>
      </w:r>
      <w:r w:rsidR="00D759E7" w:rsidRPr="00704621">
        <w:t>e</w:t>
      </w:r>
      <w:r w:rsidR="00D540F7" w:rsidRPr="00704621">
        <w:t xml:space="preserve"> které se koeficientem </w:t>
      </w:r>
      <w:r w:rsidR="00564A59" w:rsidRPr="00704621">
        <w:t>2,06</w:t>
      </w:r>
      <w:r w:rsidR="00564A59" w:rsidRPr="00704621">
        <w:rPr>
          <w:rStyle w:val="Znakapoznpodarou"/>
        </w:rPr>
        <w:footnoteReference w:id="8"/>
      </w:r>
      <w:r w:rsidR="00564A59" w:rsidRPr="00704621">
        <w:t xml:space="preserve"> </w:t>
      </w:r>
      <w:r w:rsidR="00D540F7" w:rsidRPr="00704621">
        <w:t xml:space="preserve">vypočítává </w:t>
      </w:r>
      <w:r w:rsidRPr="00704621">
        <w:t>plat ministr</w:t>
      </w:r>
      <w:r w:rsidR="00D540F7" w:rsidRPr="00704621">
        <w:t>a,</w:t>
      </w:r>
      <w:r w:rsidR="003119B9" w:rsidRPr="00704621">
        <w:t xml:space="preserve"> </w:t>
      </w:r>
      <w:r w:rsidRPr="00704621">
        <w:t xml:space="preserve">v roce 2001 </w:t>
      </w:r>
      <w:r w:rsidR="003119B9" w:rsidRPr="00704621">
        <w:t>byla 33 420 Kč</w:t>
      </w:r>
      <w:r w:rsidR="003119B9" w:rsidRPr="00704621">
        <w:rPr>
          <w:rStyle w:val="Znakapoznpodarou"/>
        </w:rPr>
        <w:footnoteReference w:id="9"/>
      </w:r>
      <w:r w:rsidR="003119B9" w:rsidRPr="00704621">
        <w:t xml:space="preserve"> </w:t>
      </w:r>
      <w:r w:rsidRPr="00704621">
        <w:t xml:space="preserve">a v roce </w:t>
      </w:r>
      <w:r w:rsidR="00D540F7" w:rsidRPr="00704621">
        <w:t>2017 byla 65 733,50 Kč.</w:t>
      </w:r>
      <w:r w:rsidR="00D540F7" w:rsidRPr="00704621">
        <w:rPr>
          <w:rStyle w:val="Znakapoznpodarou"/>
        </w:rPr>
        <w:footnoteReference w:id="10"/>
      </w:r>
      <w:r w:rsidR="003119B9" w:rsidRPr="00704621">
        <w:t xml:space="preserve"> </w:t>
      </w:r>
      <w:r w:rsidR="003119B9" w:rsidRPr="00704621">
        <w:rPr>
          <w:b/>
        </w:rPr>
        <w:t xml:space="preserve">Nárůst </w:t>
      </w:r>
      <w:r w:rsidR="00E46CD6" w:rsidRPr="00704621">
        <w:rPr>
          <w:b/>
        </w:rPr>
        <w:t xml:space="preserve">platové základny ministra </w:t>
      </w:r>
      <w:r w:rsidR="003119B9" w:rsidRPr="00704621">
        <w:rPr>
          <w:b/>
        </w:rPr>
        <w:t>činí ve srovnání s rokem 2001 asi 197%.</w:t>
      </w:r>
      <w:r w:rsidR="003119B9" w:rsidRPr="00704621">
        <w:t xml:space="preserve"> </w:t>
      </w:r>
    </w:p>
    <w:p w:rsidR="00F33BED" w:rsidRDefault="008951B9" w:rsidP="00F67CDC">
      <w:pPr>
        <w:tabs>
          <w:tab w:val="left" w:pos="1260"/>
          <w:tab w:val="left" w:pos="1440"/>
          <w:tab w:val="left" w:pos="5760"/>
        </w:tabs>
        <w:spacing w:before="120"/>
        <w:jc w:val="both"/>
      </w:pPr>
      <w:r>
        <w:t xml:space="preserve">V exekucích jsou z právních profesí nejvíce činní soudci okresních soudů, proto je vhodné srovnat jejich platové poměry. </w:t>
      </w:r>
      <w:r w:rsidR="00F33BED">
        <w:t>Soudce</w:t>
      </w:r>
      <w:r>
        <w:t xml:space="preserve"> </w:t>
      </w:r>
      <w:r w:rsidR="00F33BED">
        <w:t>okresního soudu s</w:t>
      </w:r>
      <w:r>
        <w:t> praxí 9 let měl v roce 2001 měsíční plat 35 100 Kč (koeficient 1,05) a v roce 2017 plat 91 800 Kč (koeficient 1,14 a platová základna pro soudce 80 490 Kč).</w:t>
      </w:r>
      <w:r>
        <w:rPr>
          <w:rStyle w:val="Znakapoznpodarou"/>
        </w:rPr>
        <w:footnoteReference w:id="11"/>
      </w:r>
      <w:r>
        <w:t xml:space="preserve"> Plat soudce okresního soudu se tedy k roku 2017 ve srovnání s rokem 2001 zvedl na </w:t>
      </w:r>
      <w:r w:rsidR="00AD607E">
        <w:t>261%.</w:t>
      </w:r>
    </w:p>
    <w:p w:rsidR="006E640D" w:rsidRDefault="006E640D" w:rsidP="00F67CDC">
      <w:pPr>
        <w:tabs>
          <w:tab w:val="left" w:pos="1260"/>
          <w:tab w:val="left" w:pos="1440"/>
          <w:tab w:val="left" w:pos="5760"/>
        </w:tabs>
        <w:spacing w:before="120"/>
        <w:jc w:val="both"/>
      </w:pPr>
      <w:r>
        <w:t>V případě advokátů byl základní tarif z částky 10 000 Kč v roce 2001 ve výši 1</w:t>
      </w:r>
      <w:r w:rsidR="00D759E7">
        <w:t> </w:t>
      </w:r>
      <w:r>
        <w:t>000</w:t>
      </w:r>
      <w:r w:rsidR="00D759E7">
        <w:t xml:space="preserve"> Kč</w:t>
      </w:r>
      <w:r>
        <w:t xml:space="preserve"> + 75 </w:t>
      </w:r>
      <w:r w:rsidR="00D759E7">
        <w:t xml:space="preserve">Kč paušálu, v roce 2017 je to 1 </w:t>
      </w:r>
      <w:r>
        <w:t xml:space="preserve">500 Kč + 300 Kč paušálu. Přitom advokát si počítá nejméně dva úkony právní pomoci – převzetí věci a podání. Včetně paušálu tedy vzrostla </w:t>
      </w:r>
      <w:r w:rsidR="008951B9">
        <w:t xml:space="preserve">tato tarifní sazba mezi roky </w:t>
      </w:r>
      <w:r>
        <w:t>2001 a 2017 na 167% ze základu v roce 2001.</w:t>
      </w:r>
    </w:p>
    <w:p w:rsidR="00075A86" w:rsidRPr="00E439B7" w:rsidRDefault="000A2A3D" w:rsidP="00E439B7">
      <w:pPr>
        <w:tabs>
          <w:tab w:val="left" w:pos="1260"/>
          <w:tab w:val="left" w:pos="1440"/>
          <w:tab w:val="left" w:pos="5760"/>
        </w:tabs>
        <w:spacing w:before="120"/>
        <w:jc w:val="both"/>
      </w:pPr>
      <w:r>
        <w:t>Je evidentní</w:t>
      </w:r>
      <w:r w:rsidR="00F33BED">
        <w:t xml:space="preserve"> notorietou, kterou netřeba dokazovat</w:t>
      </w:r>
      <w:r>
        <w:t xml:space="preserve">, že za 16 let podstatně vzrostly </w:t>
      </w:r>
      <w:r w:rsidR="00E46CD6">
        <w:t>m</w:t>
      </w:r>
      <w:r w:rsidR="003119B9">
        <w:t>z</w:t>
      </w:r>
      <w:r w:rsidR="00E46CD6">
        <w:t>d</w:t>
      </w:r>
      <w:r w:rsidR="003119B9">
        <w:t>y</w:t>
      </w:r>
      <w:r>
        <w:t xml:space="preserve">. Díky kumulované inflaci </w:t>
      </w:r>
      <w:r w:rsidR="003119B9">
        <w:t xml:space="preserve">za 16 let </w:t>
      </w:r>
      <w:r>
        <w:t>vzrostly i ceny zboží a služeb. Jen minimální státem regulovaná odm</w:t>
      </w:r>
      <w:r w:rsidRPr="00E439B7">
        <w:t>ěna pro exekutory nerostla a je dokonce po 16 letech razantně snižována. Takovéto jednání se vymyká ekonomickým reáliím ve státě</w:t>
      </w:r>
      <w:r w:rsidR="00F07877" w:rsidRPr="00E439B7">
        <w:t>, požadavku rozumnosti</w:t>
      </w:r>
      <w:r w:rsidRPr="00E439B7">
        <w:t xml:space="preserve"> </w:t>
      </w:r>
      <w:r w:rsidR="00F07877" w:rsidRPr="00E439B7">
        <w:t xml:space="preserve">právní úpravy </w:t>
      </w:r>
      <w:r w:rsidRPr="00E439B7">
        <w:t>a je zcela nedůvodné</w:t>
      </w:r>
      <w:r w:rsidR="00EA3A80" w:rsidRPr="00E439B7">
        <w:t>, zvláště ve srovnání s odměnou jiných právnických profesí i průměrnou mzdou</w:t>
      </w:r>
      <w:r w:rsidRPr="00E439B7">
        <w:t>.</w:t>
      </w:r>
      <w:r w:rsidR="00EA3A80" w:rsidRPr="00E439B7">
        <w:t xml:space="preserve"> </w:t>
      </w:r>
      <w:r w:rsidR="003119B9" w:rsidRPr="00E439B7">
        <w:t xml:space="preserve">Je zřejmé, že za 16 let při nezměněné výši dotčené odměny exekutora </w:t>
      </w:r>
      <w:r w:rsidR="00F07877" w:rsidRPr="00E439B7">
        <w:t xml:space="preserve">se </w:t>
      </w:r>
      <w:r w:rsidR="003119B9" w:rsidRPr="00E439B7">
        <w:t>podstatně zvýšily mzdové nároky jeho zaměstnanců, ale i další platby.</w:t>
      </w:r>
    </w:p>
    <w:p w:rsidR="00E439B7" w:rsidRDefault="0021038E" w:rsidP="0091242C">
      <w:pPr>
        <w:tabs>
          <w:tab w:val="left" w:pos="1260"/>
          <w:tab w:val="left" w:pos="1440"/>
          <w:tab w:val="left" w:pos="5760"/>
        </w:tabs>
        <w:spacing w:before="120"/>
        <w:jc w:val="both"/>
      </w:pPr>
      <w:r w:rsidRPr="00E439B7">
        <w:t>Navíc vznikly nové povinnosti exekutor</w:t>
      </w:r>
      <w:r w:rsidR="00100A25">
        <w:t>ů</w:t>
      </w:r>
      <w:r w:rsidRPr="00E439B7">
        <w:t xml:space="preserve">, které vyvolaly růst výdajů bez růstu odměny exekutora či náhrady nákladů. Například v </w:t>
      </w:r>
      <w:r w:rsidR="00E439B7" w:rsidRPr="00E439B7">
        <w:t xml:space="preserve">roce 2013 byly </w:t>
      </w:r>
      <w:r w:rsidRPr="00E439B7">
        <w:t>zrušen</w:t>
      </w:r>
      <w:r w:rsidR="00E439B7" w:rsidRPr="00E439B7">
        <w:t>y</w:t>
      </w:r>
      <w:r w:rsidRPr="00E439B7">
        <w:t xml:space="preserve"> exekutorsk</w:t>
      </w:r>
      <w:r w:rsidR="00E439B7" w:rsidRPr="00E439B7">
        <w:t>é</w:t>
      </w:r>
      <w:r w:rsidRPr="00E439B7">
        <w:t xml:space="preserve"> archiv</w:t>
      </w:r>
      <w:r w:rsidR="00E439B7" w:rsidRPr="00E439B7">
        <w:t>y</w:t>
      </w:r>
      <w:r w:rsidRPr="00E439B7">
        <w:t xml:space="preserve"> u exekučních soudů</w:t>
      </w:r>
      <w:r w:rsidR="0091242C">
        <w:t>.</w:t>
      </w:r>
      <w:r w:rsidRPr="00E439B7">
        <w:t xml:space="preserve"> Zrušení archivů na soudech působí výraznou finanční zátěž exekutorů, neboť ukončené spisy jsou povinni archivovat sami, přičemž nově jmenovaní </w:t>
      </w:r>
      <w:r w:rsidR="00E439B7">
        <w:t xml:space="preserve">exekutoři přebírají </w:t>
      </w:r>
      <w:r w:rsidRPr="00E439B7">
        <w:t>rozsáhlé archivy svých předchůdců.</w:t>
      </w:r>
      <w:r w:rsidR="00E439B7">
        <w:t xml:space="preserve"> </w:t>
      </w:r>
      <w:r w:rsidR="0091242C">
        <w:t>D</w:t>
      </w:r>
      <w:r w:rsidR="0091242C" w:rsidRPr="00E439B7">
        <w:t xml:space="preserve">ále </w:t>
      </w:r>
      <w:r w:rsidR="0091242C">
        <w:t xml:space="preserve">byly </w:t>
      </w:r>
      <w:r w:rsidR="0091242C" w:rsidRPr="00E439B7">
        <w:t>předány neukončené výkony rozhodnutí ve věcech daňových pohledávek exekutorům</w:t>
      </w:r>
      <w:r w:rsidR="0091242C">
        <w:t xml:space="preserve"> a další práce, které při původním stanovení odměny a náhrady nákladů nebyly - dražby, rozvrhy, odklady, natáčení mobiliárních exekucí</w:t>
      </w:r>
      <w:r w:rsidR="0091242C" w:rsidRPr="00E439B7">
        <w:t xml:space="preserve">. </w:t>
      </w:r>
      <w:r w:rsidR="00E439B7">
        <w:t>Náklady vznikají okamžitě i začínajícímu exekutorovi, zatímco zisku dosahuje až po několika letech provozu úřadu.</w:t>
      </w:r>
    </w:p>
    <w:p w:rsidR="00100A25" w:rsidRPr="009B0AAB" w:rsidRDefault="00C900D7" w:rsidP="009B0AAB">
      <w:pPr>
        <w:tabs>
          <w:tab w:val="left" w:pos="1260"/>
          <w:tab w:val="left" w:pos="1440"/>
          <w:tab w:val="left" w:pos="5760"/>
        </w:tabs>
        <w:spacing w:before="120"/>
        <w:jc w:val="both"/>
      </w:pPr>
      <w:r w:rsidRPr="00C900D7">
        <w:lastRenderedPageBreak/>
        <w:t xml:space="preserve">Výše uvedený vývoj nových povinností a celkové změny situace při vymáhání pohledávek je nutné zohlednit i při interpretaci dřívější judikatury. V </w:t>
      </w:r>
      <w:r w:rsidR="00100A25" w:rsidRPr="00C900D7">
        <w:t xml:space="preserve">roce 2006 byli </w:t>
      </w:r>
      <w:r w:rsidRPr="00C900D7">
        <w:t xml:space="preserve">exekutoři </w:t>
      </w:r>
      <w:r w:rsidR="00100A25" w:rsidRPr="00C900D7">
        <w:t>v</w:t>
      </w:r>
      <w:r>
        <w:t>e stanovisku</w:t>
      </w:r>
      <w:r w:rsidR="00100A25" w:rsidRPr="00C900D7">
        <w:t xml:space="preserve"> </w:t>
      </w:r>
      <w:r>
        <w:t xml:space="preserve">pléna </w:t>
      </w:r>
      <w:r w:rsidRPr="00C900D7">
        <w:t xml:space="preserve">Ústavního soudu </w:t>
      </w:r>
      <w:proofErr w:type="spellStart"/>
      <w:proofErr w:type="gramStart"/>
      <w:r>
        <w:t>Pl.ÚS</w:t>
      </w:r>
      <w:proofErr w:type="spellEnd"/>
      <w:proofErr w:type="gramEnd"/>
      <w:r>
        <w:t xml:space="preserve"> </w:t>
      </w:r>
      <w:r w:rsidR="00100A25" w:rsidRPr="00C900D7">
        <w:t xml:space="preserve">23/06 označeni za podnikatele s monopolem na vymáhání pohledávek, </w:t>
      </w:r>
      <w:r w:rsidRPr="00C900D7">
        <w:t xml:space="preserve">což bylo vnímáno jako velký a dobrý </w:t>
      </w:r>
      <w:r w:rsidR="00100A25" w:rsidRPr="00C900D7">
        <w:t>byznys</w:t>
      </w:r>
      <w:r w:rsidRPr="00C900D7">
        <w:t xml:space="preserve">. </w:t>
      </w:r>
      <w:r w:rsidRPr="00704621">
        <w:t>Proto byl</w:t>
      </w:r>
      <w:r w:rsidR="00861E1A" w:rsidRPr="00704621">
        <w:t>o vyvozeno to, že exekutor nemá</w:t>
      </w:r>
      <w:r w:rsidR="00100A25" w:rsidRPr="00704621">
        <w:t xml:space="preserve"> právo na náklady bezvýsledných exekucí, neboť vše pokryje z úspěšných</w:t>
      </w:r>
      <w:r w:rsidR="00704621">
        <w:t>. Je zarážející, že n</w:t>
      </w:r>
      <w:r w:rsidR="00100A25" w:rsidRPr="00704621">
        <w:t xml:space="preserve">yní o 11 let později, kdy </w:t>
      </w:r>
      <w:r w:rsidR="00704621">
        <w:t xml:space="preserve">kontinuálně </w:t>
      </w:r>
      <w:r w:rsidRPr="00704621">
        <w:t>r</w:t>
      </w:r>
      <w:r w:rsidR="00100A25" w:rsidRPr="00704621">
        <w:t>ostla agenda, mzdy a další výdaje</w:t>
      </w:r>
      <w:r w:rsidR="00861E1A" w:rsidRPr="00704621">
        <w:t>,</w:t>
      </w:r>
      <w:r w:rsidR="00100A25" w:rsidRPr="00704621">
        <w:t xml:space="preserve"> </w:t>
      </w:r>
      <w:r w:rsidR="00704621">
        <w:t xml:space="preserve">se </w:t>
      </w:r>
      <w:r w:rsidR="00100A25" w:rsidRPr="00704621">
        <w:t xml:space="preserve">najednou </w:t>
      </w:r>
      <w:r w:rsidR="00704621">
        <w:t>„</w:t>
      </w:r>
      <w:r w:rsidR="00100A25" w:rsidRPr="00704621">
        <w:t>nachází</w:t>
      </w:r>
      <w:r w:rsidR="00704621">
        <w:t>“</w:t>
      </w:r>
      <w:r w:rsidR="00100A25" w:rsidRPr="00704621">
        <w:t xml:space="preserve"> prostor pro snížení, přestože jediný ukazatel, který se změnil, je faktické vyprázdnění výhodnos</w:t>
      </w:r>
      <w:r w:rsidRPr="00704621">
        <w:t>ti tohoto monopolního povolání. Pakliže nemá</w:t>
      </w:r>
      <w:r w:rsidR="00861E1A" w:rsidRPr="00704621">
        <w:t xml:space="preserve"> exekutor garantované náklady z</w:t>
      </w:r>
      <w:r w:rsidRPr="00704621">
        <w:t xml:space="preserve"> neúspěšné exekuce a i u úspěšných exekucí narostly během let náklady, je zcela nedůvodné a nepatřičné snižovat odměnu a náhradu nákladů exekutora.</w:t>
      </w:r>
    </w:p>
    <w:p w:rsidR="00841187" w:rsidRPr="00E439B7" w:rsidRDefault="00841187" w:rsidP="0091242C">
      <w:pPr>
        <w:tabs>
          <w:tab w:val="left" w:pos="1260"/>
          <w:tab w:val="left" w:pos="1440"/>
          <w:tab w:val="left" w:pos="5760"/>
        </w:tabs>
        <w:spacing w:before="120"/>
        <w:jc w:val="both"/>
      </w:pPr>
    </w:p>
    <w:p w:rsidR="00841187" w:rsidRPr="00E439B7" w:rsidRDefault="00841187" w:rsidP="00BF2A57">
      <w:pPr>
        <w:pStyle w:val="Odstavecseseznamem"/>
        <w:numPr>
          <w:ilvl w:val="0"/>
          <w:numId w:val="1"/>
        </w:numPr>
        <w:tabs>
          <w:tab w:val="left" w:pos="1260"/>
          <w:tab w:val="left" w:pos="1440"/>
          <w:tab w:val="left" w:pos="5760"/>
        </w:tabs>
        <w:spacing w:before="120"/>
        <w:ind w:left="0"/>
        <w:contextualSpacing w:val="0"/>
        <w:jc w:val="center"/>
        <w:rPr>
          <w:b/>
        </w:rPr>
      </w:pPr>
      <w:r w:rsidRPr="00E439B7">
        <w:rPr>
          <w:b/>
        </w:rPr>
        <w:t>Modelový úřad</w:t>
      </w:r>
      <w:r w:rsidR="00F20582" w:rsidRPr="00E439B7">
        <w:rPr>
          <w:b/>
        </w:rPr>
        <w:t xml:space="preserve"> – nerozumnost a svévolnost východisek právní úpravy</w:t>
      </w:r>
    </w:p>
    <w:p w:rsidR="00841187" w:rsidRDefault="00841187" w:rsidP="0091242C">
      <w:pPr>
        <w:spacing w:before="120"/>
        <w:jc w:val="both"/>
      </w:pPr>
      <w:r w:rsidRPr="008D0AE1">
        <w:t>Ministerstvo spravedlnosti při obhajobě napadených ustanovení vyhlášky vyšlo ve své Analýze z metody tzv. Modelového úřadu, který však Exekutorská komora zpochybnila ve svém vyjádření k návrhu vyhlášky Legislativní radě vlády a z něj jsou též převzaty následující údaje. Předně je však nutno zdůraznit, že za modelový úřad ministerstvo vzalo exekutorský úřad v Praze působící od roku 2009 s nápadem 2 400 exekucí ročně. Těmto kritériím z více než 150 úřadů odpovídají jen necelá 3% exekutorů, konkrétně 4, což vypovídá, že ministerstvo postrádalo jakoukoliv optiku skutečného celostátního úřadu, rozumový přístup při tvorbě práva a vyšlo jen ze svého pražského a i tak neúplného vidění života ve státě.</w:t>
      </w:r>
    </w:p>
    <w:p w:rsidR="00704621" w:rsidRPr="008D0AE1" w:rsidRDefault="00704621" w:rsidP="0091242C">
      <w:pPr>
        <w:spacing w:before="120"/>
        <w:jc w:val="both"/>
      </w:pPr>
    </w:p>
    <w:p w:rsidR="00841187" w:rsidRPr="008D0AE1" w:rsidRDefault="00841187" w:rsidP="00841187">
      <w:pPr>
        <w:jc w:val="both"/>
      </w:pPr>
      <w:r w:rsidRPr="008D0AE1">
        <w:t>Jako nejproblematičtější se jeví zejména určení počtu zaměstnanců modelového úřadu</w:t>
      </w:r>
      <w:r w:rsidR="00D70C23" w:rsidRPr="008D0AE1">
        <w:t>.</w:t>
      </w:r>
      <w:r w:rsidRPr="008D0AE1">
        <w:t xml:space="preserve"> Z toho důvodu Komora provedla konfrontaci modelového úřadu s reálnými daty o zaměstnanosti. </w:t>
      </w:r>
    </w:p>
    <w:p w:rsidR="00841187" w:rsidRPr="008D0AE1" w:rsidRDefault="00841187" w:rsidP="00841187">
      <w:pPr>
        <w:jc w:val="both"/>
        <w:rPr>
          <w:b/>
          <w:u w:val="single"/>
        </w:rPr>
      </w:pPr>
    </w:p>
    <w:p w:rsidR="00841187" w:rsidRPr="008D0AE1" w:rsidRDefault="00841187" w:rsidP="00BF2A57">
      <w:pPr>
        <w:pStyle w:val="Odstavecseseznamem"/>
        <w:numPr>
          <w:ilvl w:val="0"/>
          <w:numId w:val="5"/>
        </w:numPr>
        <w:jc w:val="both"/>
        <w:rPr>
          <w:b/>
          <w:u w:val="single"/>
        </w:rPr>
      </w:pPr>
      <w:r w:rsidRPr="008D0AE1">
        <w:t>Modelový úřad - od roku 2001, Praha, nápad 2 400 věcí ročně</w:t>
      </w:r>
    </w:p>
    <w:p w:rsidR="00841187" w:rsidRPr="008D0AE1" w:rsidRDefault="00841187" w:rsidP="00BF2A57">
      <w:pPr>
        <w:pStyle w:val="Odstavecseseznamem"/>
        <w:numPr>
          <w:ilvl w:val="0"/>
          <w:numId w:val="5"/>
        </w:numPr>
        <w:jc w:val="both"/>
        <w:rPr>
          <w:b/>
          <w:u w:val="single"/>
        </w:rPr>
      </w:pPr>
      <w:r w:rsidRPr="008D0AE1">
        <w:t xml:space="preserve">Reálné počty referenčních úřadů: </w:t>
      </w:r>
    </w:p>
    <w:p w:rsidR="00841187" w:rsidRPr="008D0AE1" w:rsidRDefault="00841187" w:rsidP="00BF2A57">
      <w:pPr>
        <w:pStyle w:val="Odstavecseseznamem"/>
        <w:numPr>
          <w:ilvl w:val="0"/>
          <w:numId w:val="6"/>
        </w:numPr>
        <w:jc w:val="both"/>
        <w:rPr>
          <w:u w:val="single"/>
        </w:rPr>
      </w:pPr>
      <w:r w:rsidRPr="008D0AE1">
        <w:rPr>
          <w:u w:val="single"/>
        </w:rPr>
        <w:t>průměrný nápad za roky 2012 - 2015 v rozmezí 1800 - 3000 ročně (18 exekutorů)</w:t>
      </w:r>
    </w:p>
    <w:p w:rsidR="00841187" w:rsidRPr="008D0AE1" w:rsidRDefault="00841187" w:rsidP="00BF2A57">
      <w:pPr>
        <w:pStyle w:val="Odstavecseseznamem"/>
        <w:numPr>
          <w:ilvl w:val="0"/>
          <w:numId w:val="6"/>
        </w:numPr>
        <w:jc w:val="both"/>
        <w:rPr>
          <w:u w:val="single"/>
        </w:rPr>
      </w:pPr>
      <w:r w:rsidRPr="008D0AE1">
        <w:rPr>
          <w:u w:val="single"/>
        </w:rPr>
        <w:t>průměrný nápad za roky 2012 - 2015 v rozmezí 1800 - 3000 ročně + od roku 2001 (9 exekutorů)</w:t>
      </w:r>
    </w:p>
    <w:p w:rsidR="00841187" w:rsidRPr="008D0AE1" w:rsidRDefault="00841187" w:rsidP="00BF2A57">
      <w:pPr>
        <w:pStyle w:val="Odstavecseseznamem"/>
        <w:numPr>
          <w:ilvl w:val="0"/>
          <w:numId w:val="6"/>
        </w:numPr>
        <w:jc w:val="both"/>
        <w:rPr>
          <w:u w:val="single"/>
        </w:rPr>
      </w:pPr>
      <w:r w:rsidRPr="008D0AE1">
        <w:rPr>
          <w:u w:val="single"/>
        </w:rPr>
        <w:t>průměrný nápad za roky 2012 - 2015 v rozmezí 1800 - 3000 ročně + od roku 2001 + Praha (4 exekutoři)</w:t>
      </w:r>
    </w:p>
    <w:p w:rsidR="00841187" w:rsidRPr="008D0AE1" w:rsidRDefault="00841187" w:rsidP="00841187">
      <w:pPr>
        <w:jc w:val="both"/>
        <w:rPr>
          <w:b/>
          <w:highlight w:val="yellow"/>
        </w:rPr>
      </w:pPr>
    </w:p>
    <w:p w:rsidR="00841187" w:rsidRPr="00CD2870" w:rsidRDefault="00841187" w:rsidP="00841187">
      <w:pPr>
        <w:jc w:val="both"/>
      </w:pPr>
      <w:r w:rsidRPr="00CD2870">
        <w:t>Ubíráme-li jednotlivá kritéria, dostaneme se až na počet 18 soudních exekutorů (z nichž nicméně jenom polovina skutečně funguje od roku 2009). 2 soudní exekutory je nutné navíc z dílčího srovnání vyloučit</w:t>
      </w:r>
      <w:r w:rsidR="00CD2870" w:rsidRPr="00CD2870">
        <w:t>,</w:t>
      </w:r>
      <w:r w:rsidRPr="00CD2870">
        <w:t xml:space="preserve"> neboť jejich nápad vykazuje značnou nerovnost v čase (viz sloupec TEST), což by mohlo zkreslit statistiku zaměstnanosti</w:t>
      </w:r>
      <w:r w:rsidR="00CD2870" w:rsidRPr="00CD2870">
        <w:t>.</w:t>
      </w:r>
    </w:p>
    <w:p w:rsidR="00436846" w:rsidRPr="00CD2870" w:rsidRDefault="00436846" w:rsidP="00841187">
      <w:pPr>
        <w:jc w:val="both"/>
      </w:pPr>
    </w:p>
    <w:p w:rsidR="00841187" w:rsidRDefault="00841187" w:rsidP="00841187">
      <w:pPr>
        <w:jc w:val="both"/>
        <w:rPr>
          <w:rFonts w:ascii="Book Antiqua" w:hAnsi="Book Antiqua"/>
          <w:b/>
          <w:highlight w:val="yellow"/>
        </w:rPr>
      </w:pPr>
    </w:p>
    <w:tbl>
      <w:tblPr>
        <w:tblW w:w="5465" w:type="pct"/>
        <w:tblInd w:w="-497" w:type="dxa"/>
        <w:tblLayout w:type="fixed"/>
        <w:tblCellMar>
          <w:left w:w="70" w:type="dxa"/>
          <w:right w:w="70" w:type="dxa"/>
        </w:tblCellMar>
        <w:tblLook w:val="04A0"/>
      </w:tblPr>
      <w:tblGrid>
        <w:gridCol w:w="1775"/>
        <w:gridCol w:w="1496"/>
        <w:gridCol w:w="1410"/>
        <w:gridCol w:w="1559"/>
        <w:gridCol w:w="1136"/>
        <w:gridCol w:w="1134"/>
        <w:gridCol w:w="1559"/>
      </w:tblGrid>
      <w:tr w:rsidR="00841187" w:rsidRPr="00482318" w:rsidTr="00C3233A">
        <w:trPr>
          <w:trHeight w:val="1050"/>
        </w:trPr>
        <w:tc>
          <w:tcPr>
            <w:tcW w:w="881"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841187" w:rsidRPr="00482318" w:rsidRDefault="00841187" w:rsidP="00841187">
            <w:pPr>
              <w:jc w:val="center"/>
              <w:rPr>
                <w:rFonts w:ascii="Book Antiqua" w:hAnsi="Book Antiqua"/>
                <w:b/>
                <w:bCs/>
              </w:rPr>
            </w:pPr>
          </w:p>
        </w:tc>
        <w:tc>
          <w:tcPr>
            <w:tcW w:w="743" w:type="pct"/>
            <w:tcBorders>
              <w:top w:val="single" w:sz="8" w:space="0" w:color="auto"/>
              <w:left w:val="nil"/>
              <w:bottom w:val="single" w:sz="8" w:space="0" w:color="auto"/>
              <w:right w:val="single" w:sz="8" w:space="0" w:color="auto"/>
            </w:tcBorders>
            <w:shd w:val="clear" w:color="000000" w:fill="FFFF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Počty nařízených exekucí za rok 2013</w:t>
            </w:r>
          </w:p>
        </w:tc>
        <w:tc>
          <w:tcPr>
            <w:tcW w:w="700" w:type="pct"/>
            <w:tcBorders>
              <w:top w:val="single" w:sz="8" w:space="0" w:color="auto"/>
              <w:left w:val="nil"/>
              <w:bottom w:val="single" w:sz="8" w:space="0" w:color="auto"/>
              <w:right w:val="single" w:sz="8" w:space="0" w:color="auto"/>
            </w:tcBorders>
            <w:shd w:val="clear" w:color="000000" w:fill="FFFF00"/>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Počty nařízených exekucí za rok (podle EX)2014</w:t>
            </w:r>
          </w:p>
        </w:tc>
        <w:tc>
          <w:tcPr>
            <w:tcW w:w="774" w:type="pct"/>
            <w:tcBorders>
              <w:top w:val="single" w:sz="8" w:space="0" w:color="auto"/>
              <w:left w:val="nil"/>
              <w:bottom w:val="single" w:sz="8" w:space="0" w:color="auto"/>
              <w:right w:val="single" w:sz="8" w:space="0" w:color="auto"/>
            </w:tcBorders>
            <w:shd w:val="clear" w:color="000000" w:fill="FFFF00"/>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Počty nařízených exekucí (2015)</w:t>
            </w:r>
          </w:p>
        </w:tc>
        <w:tc>
          <w:tcPr>
            <w:tcW w:w="564" w:type="pct"/>
            <w:tcBorders>
              <w:top w:val="single" w:sz="8" w:space="0" w:color="auto"/>
              <w:left w:val="nil"/>
              <w:bottom w:val="single" w:sz="8" w:space="0" w:color="auto"/>
              <w:right w:val="single" w:sz="8" w:space="0" w:color="auto"/>
            </w:tcBorders>
            <w:shd w:val="clear" w:color="000000" w:fill="FFFF00"/>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Medián 2013 - 2015</w:t>
            </w:r>
          </w:p>
        </w:tc>
        <w:tc>
          <w:tcPr>
            <w:tcW w:w="563" w:type="pct"/>
            <w:tcBorders>
              <w:top w:val="single" w:sz="8" w:space="0" w:color="auto"/>
              <w:left w:val="nil"/>
              <w:bottom w:val="single" w:sz="8" w:space="0" w:color="auto"/>
              <w:right w:val="single" w:sz="8" w:space="0" w:color="auto"/>
            </w:tcBorders>
            <w:shd w:val="clear" w:color="000000" w:fill="FFFF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Průměr 2013 - 2015</w:t>
            </w:r>
          </w:p>
        </w:tc>
        <w:tc>
          <w:tcPr>
            <w:tcW w:w="774" w:type="pct"/>
            <w:tcBorders>
              <w:top w:val="single" w:sz="8" w:space="0" w:color="auto"/>
              <w:left w:val="nil"/>
              <w:bottom w:val="single" w:sz="8" w:space="0" w:color="auto"/>
              <w:right w:val="single" w:sz="8" w:space="0" w:color="auto"/>
            </w:tcBorders>
            <w:shd w:val="clear" w:color="000000" w:fill="FFFF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TEST - Medián/průměr (1 +/- 0,33)</w:t>
            </w:r>
          </w:p>
        </w:tc>
      </w:tr>
      <w:tr w:rsidR="00841187" w:rsidRPr="00482318" w:rsidTr="00C3233A">
        <w:trPr>
          <w:trHeight w:val="465"/>
        </w:trPr>
        <w:tc>
          <w:tcPr>
            <w:tcW w:w="881" w:type="pct"/>
            <w:tcBorders>
              <w:top w:val="nil"/>
              <w:left w:val="single" w:sz="4" w:space="0" w:color="auto"/>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i/>
                <w:iCs/>
                <w:color w:val="000000"/>
              </w:rPr>
            </w:pPr>
            <w:r w:rsidRPr="00482318">
              <w:rPr>
                <w:rFonts w:ascii="Book Antiqua" w:hAnsi="Book Antiqua"/>
                <w:i/>
                <w:iCs/>
                <w:color w:val="000000"/>
              </w:rPr>
              <w:t xml:space="preserve">nápad 1800 </w:t>
            </w:r>
            <w:r>
              <w:rPr>
                <w:rFonts w:ascii="Book Antiqua" w:hAnsi="Book Antiqua"/>
                <w:i/>
                <w:iCs/>
                <w:color w:val="000000"/>
              </w:rPr>
              <w:t>–</w:t>
            </w:r>
            <w:r w:rsidRPr="00482318">
              <w:rPr>
                <w:rFonts w:ascii="Book Antiqua" w:hAnsi="Book Antiqua"/>
                <w:i/>
                <w:iCs/>
                <w:color w:val="000000"/>
              </w:rPr>
              <w:t xml:space="preserve"> 3000</w:t>
            </w:r>
          </w:p>
        </w:tc>
        <w:tc>
          <w:tcPr>
            <w:tcW w:w="743" w:type="pct"/>
            <w:tcBorders>
              <w:top w:val="nil"/>
              <w:left w:val="nil"/>
              <w:bottom w:val="single" w:sz="4" w:space="0" w:color="auto"/>
              <w:right w:val="single" w:sz="4" w:space="0" w:color="auto"/>
            </w:tcBorders>
            <w:shd w:val="clear" w:color="000000" w:fill="FFFFFF"/>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700" w:type="pct"/>
            <w:tcBorders>
              <w:top w:val="nil"/>
              <w:left w:val="nil"/>
              <w:bottom w:val="single" w:sz="4" w:space="0" w:color="auto"/>
              <w:right w:val="single" w:sz="4" w:space="0" w:color="auto"/>
            </w:tcBorders>
            <w:shd w:val="clear" w:color="000000" w:fill="FFFFFF"/>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774" w:type="pct"/>
            <w:tcBorders>
              <w:top w:val="nil"/>
              <w:left w:val="nil"/>
              <w:bottom w:val="single" w:sz="4" w:space="0" w:color="auto"/>
              <w:right w:val="single" w:sz="4" w:space="0" w:color="auto"/>
            </w:tcBorders>
            <w:shd w:val="clear" w:color="000000" w:fill="FFFFFF"/>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564" w:type="pct"/>
            <w:tcBorders>
              <w:top w:val="nil"/>
              <w:left w:val="nil"/>
              <w:bottom w:val="single" w:sz="4" w:space="0" w:color="auto"/>
              <w:right w:val="single" w:sz="4" w:space="0" w:color="auto"/>
            </w:tcBorders>
            <w:shd w:val="clear" w:color="000000" w:fill="FFFFFF"/>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563" w:type="pct"/>
            <w:tcBorders>
              <w:top w:val="nil"/>
              <w:left w:val="nil"/>
              <w:bottom w:val="single" w:sz="4" w:space="0" w:color="auto"/>
              <w:right w:val="single" w:sz="4" w:space="0" w:color="auto"/>
            </w:tcBorders>
            <w:shd w:val="clear" w:color="000000" w:fill="FFFFFF"/>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774" w:type="pct"/>
            <w:tcBorders>
              <w:top w:val="nil"/>
              <w:left w:val="nil"/>
              <w:bottom w:val="single" w:sz="4" w:space="0" w:color="auto"/>
              <w:right w:val="single" w:sz="4" w:space="0" w:color="auto"/>
            </w:tcBorders>
            <w:shd w:val="clear" w:color="000000" w:fill="FFFFFF"/>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2118</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1213</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2218</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2 118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1 850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lastRenderedPageBreak/>
              <w:t xml:space="preserve">exekutor </w:t>
            </w:r>
            <w:proofErr w:type="gramStart"/>
            <w:r w:rsidRPr="00482318">
              <w:rPr>
                <w:rFonts w:ascii="Book Antiqua" w:hAnsi="Book Antiqua"/>
                <w:b/>
                <w:bCs/>
              </w:rPr>
              <w:t>č.2</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303</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2395</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2970</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2 395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1 889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č.3</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2250</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2327</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1267</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2 250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1 948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č.4</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1825</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1984</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2417</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1 984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2 075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č.5</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1542</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1437</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3263</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1 542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2 081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č.6</w:t>
            </w:r>
            <w:proofErr w:type="gramEnd"/>
          </w:p>
        </w:tc>
        <w:tc>
          <w:tcPr>
            <w:tcW w:w="743" w:type="pct"/>
            <w:tcBorders>
              <w:top w:val="nil"/>
              <w:left w:val="nil"/>
              <w:bottom w:val="single" w:sz="4" w:space="0" w:color="auto"/>
              <w:right w:val="nil"/>
            </w:tcBorders>
            <w:shd w:val="clear" w:color="000000" w:fill="92D050"/>
            <w:vAlign w:val="center"/>
            <w:hideMark/>
          </w:tcPr>
          <w:p w:rsidR="00841187" w:rsidRPr="00482318" w:rsidRDefault="00841187" w:rsidP="00841187">
            <w:pPr>
              <w:jc w:val="center"/>
              <w:rPr>
                <w:rFonts w:ascii="Book Antiqua" w:hAnsi="Book Antiqua"/>
              </w:rPr>
            </w:pPr>
            <w:r w:rsidRPr="00482318">
              <w:rPr>
                <w:rFonts w:ascii="Book Antiqua" w:hAnsi="Book Antiqua"/>
              </w:rPr>
              <w:t>0</w:t>
            </w:r>
          </w:p>
        </w:tc>
        <w:tc>
          <w:tcPr>
            <w:tcW w:w="700" w:type="pct"/>
            <w:tcBorders>
              <w:top w:val="nil"/>
              <w:left w:val="single" w:sz="4" w:space="0" w:color="auto"/>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156</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6096</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156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2 084    </w:t>
            </w:r>
          </w:p>
        </w:tc>
        <w:tc>
          <w:tcPr>
            <w:tcW w:w="774" w:type="pct"/>
            <w:tcBorders>
              <w:top w:val="nil"/>
              <w:left w:val="single" w:sz="4" w:space="0" w:color="auto"/>
              <w:bottom w:val="single" w:sz="4" w:space="0" w:color="auto"/>
              <w:right w:val="nil"/>
            </w:tcBorders>
            <w:shd w:val="clear" w:color="000000" w:fill="FF0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VYLOUČIT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č.7</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1719</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2176</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2359</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2 176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2 085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č.8</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1676</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2189</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2641</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2 189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2 169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č.9</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2250</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2622</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1708</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2 250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2 193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č.10</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2922</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2845</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1322</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2 845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2 363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č.11</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2018</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2824</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2508</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2 508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2 450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č.12</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710</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3666</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3141</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3 141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2 506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č.13</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4228</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2092</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1526</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2 092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2 615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č.14</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2764</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1941</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3200</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2 764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2 635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č.15</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3041</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3197</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2181</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3 041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2 806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č.16</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4181</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3358</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1757</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3 358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3 099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č.17</w:t>
            </w:r>
            <w:proofErr w:type="gramEnd"/>
          </w:p>
        </w:tc>
        <w:tc>
          <w:tcPr>
            <w:tcW w:w="743" w:type="pct"/>
            <w:tcBorders>
              <w:top w:val="nil"/>
              <w:left w:val="nil"/>
              <w:bottom w:val="single" w:sz="4" w:space="0" w:color="auto"/>
              <w:right w:val="single" w:sz="4" w:space="0" w:color="auto"/>
            </w:tcBorders>
            <w:shd w:val="clear" w:color="000000" w:fill="FFC00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1157</w:t>
            </w:r>
          </w:p>
        </w:tc>
        <w:tc>
          <w:tcPr>
            <w:tcW w:w="700" w:type="pct"/>
            <w:tcBorders>
              <w:top w:val="nil"/>
              <w:left w:val="nil"/>
              <w:bottom w:val="single" w:sz="4" w:space="0" w:color="auto"/>
              <w:right w:val="single" w:sz="4" w:space="0" w:color="auto"/>
            </w:tcBorders>
            <w:shd w:val="clear" w:color="000000" w:fill="FFC00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1919</w:t>
            </w:r>
          </w:p>
        </w:tc>
        <w:tc>
          <w:tcPr>
            <w:tcW w:w="774" w:type="pct"/>
            <w:tcBorders>
              <w:top w:val="nil"/>
              <w:left w:val="nil"/>
              <w:bottom w:val="single" w:sz="4" w:space="0" w:color="auto"/>
              <w:right w:val="nil"/>
            </w:tcBorders>
            <w:shd w:val="clear" w:color="000000" w:fill="FFC00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5630</w:t>
            </w:r>
          </w:p>
        </w:tc>
        <w:tc>
          <w:tcPr>
            <w:tcW w:w="564" w:type="pct"/>
            <w:tcBorders>
              <w:top w:val="nil"/>
              <w:left w:val="single" w:sz="4" w:space="0" w:color="auto"/>
              <w:bottom w:val="single" w:sz="4" w:space="0" w:color="auto"/>
              <w:right w:val="nil"/>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1 919    </w:t>
            </w:r>
          </w:p>
        </w:tc>
        <w:tc>
          <w:tcPr>
            <w:tcW w:w="563" w:type="pct"/>
            <w:tcBorders>
              <w:top w:val="nil"/>
              <w:left w:val="single" w:sz="4" w:space="0" w:color="auto"/>
              <w:bottom w:val="single" w:sz="4" w:space="0" w:color="auto"/>
              <w:right w:val="nil"/>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2 902    </w:t>
            </w:r>
          </w:p>
        </w:tc>
        <w:tc>
          <w:tcPr>
            <w:tcW w:w="774" w:type="pct"/>
            <w:tcBorders>
              <w:top w:val="nil"/>
              <w:left w:val="single" w:sz="4" w:space="0" w:color="auto"/>
              <w:bottom w:val="single" w:sz="4" w:space="0" w:color="auto"/>
              <w:right w:val="nil"/>
            </w:tcBorders>
            <w:shd w:val="clear" w:color="000000" w:fill="FF0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VYLOUČIT </w:t>
            </w:r>
          </w:p>
        </w:tc>
      </w:tr>
      <w:tr w:rsidR="00841187" w:rsidRPr="00482318" w:rsidTr="00C3233A">
        <w:trPr>
          <w:trHeight w:val="300"/>
        </w:trPr>
        <w:tc>
          <w:tcPr>
            <w:tcW w:w="881"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č.18</w:t>
            </w:r>
            <w:proofErr w:type="gramEnd"/>
          </w:p>
        </w:tc>
        <w:tc>
          <w:tcPr>
            <w:tcW w:w="743" w:type="pct"/>
            <w:tcBorders>
              <w:top w:val="nil"/>
              <w:left w:val="nil"/>
              <w:bottom w:val="single" w:sz="4" w:space="0" w:color="auto"/>
              <w:right w:val="single" w:sz="4" w:space="0" w:color="auto"/>
            </w:tcBorders>
            <w:shd w:val="clear" w:color="000000" w:fill="FFC00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1402</w:t>
            </w:r>
          </w:p>
        </w:tc>
        <w:tc>
          <w:tcPr>
            <w:tcW w:w="700" w:type="pct"/>
            <w:tcBorders>
              <w:top w:val="nil"/>
              <w:left w:val="nil"/>
              <w:bottom w:val="single" w:sz="4" w:space="0" w:color="auto"/>
              <w:right w:val="single" w:sz="4" w:space="0" w:color="auto"/>
            </w:tcBorders>
            <w:shd w:val="clear" w:color="000000" w:fill="FFC00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5243</w:t>
            </w:r>
          </w:p>
        </w:tc>
        <w:tc>
          <w:tcPr>
            <w:tcW w:w="774" w:type="pct"/>
            <w:tcBorders>
              <w:top w:val="nil"/>
              <w:left w:val="nil"/>
              <w:bottom w:val="single" w:sz="4" w:space="0" w:color="auto"/>
              <w:right w:val="nil"/>
            </w:tcBorders>
            <w:shd w:val="clear" w:color="000000" w:fill="FFC00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2407</w:t>
            </w:r>
          </w:p>
        </w:tc>
        <w:tc>
          <w:tcPr>
            <w:tcW w:w="564" w:type="pct"/>
            <w:tcBorders>
              <w:top w:val="nil"/>
              <w:left w:val="single" w:sz="4" w:space="0" w:color="auto"/>
              <w:bottom w:val="single" w:sz="4" w:space="0" w:color="auto"/>
              <w:right w:val="nil"/>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2 407    </w:t>
            </w:r>
          </w:p>
        </w:tc>
        <w:tc>
          <w:tcPr>
            <w:tcW w:w="563" w:type="pct"/>
            <w:tcBorders>
              <w:top w:val="nil"/>
              <w:left w:val="single" w:sz="4" w:space="0" w:color="auto"/>
              <w:bottom w:val="single" w:sz="4" w:space="0" w:color="auto"/>
              <w:right w:val="nil"/>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3 017    </w:t>
            </w:r>
          </w:p>
        </w:tc>
        <w:tc>
          <w:tcPr>
            <w:tcW w:w="774" w:type="pct"/>
            <w:tcBorders>
              <w:top w:val="nil"/>
              <w:left w:val="single" w:sz="4" w:space="0" w:color="auto"/>
              <w:bottom w:val="single" w:sz="4" w:space="0" w:color="auto"/>
              <w:right w:val="nil"/>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45"/>
        </w:trPr>
        <w:tc>
          <w:tcPr>
            <w:tcW w:w="881"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743"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r>
      <w:tr w:rsidR="00841187" w:rsidRPr="00482318" w:rsidTr="00C3233A">
        <w:trPr>
          <w:trHeight w:val="345"/>
        </w:trPr>
        <w:tc>
          <w:tcPr>
            <w:tcW w:w="881"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743"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r>
      <w:tr w:rsidR="00841187" w:rsidRPr="00482318" w:rsidTr="00C3233A">
        <w:trPr>
          <w:trHeight w:val="315"/>
        </w:trPr>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i/>
                <w:iCs/>
                <w:color w:val="000000"/>
              </w:rPr>
            </w:pPr>
            <w:r w:rsidRPr="00482318">
              <w:rPr>
                <w:rFonts w:ascii="Book Antiqua" w:hAnsi="Book Antiqua"/>
                <w:i/>
                <w:iCs/>
                <w:color w:val="000000"/>
              </w:rPr>
              <w:t>nápad 1800 - 3000 + Praha + od roku 2001</w:t>
            </w:r>
          </w:p>
        </w:tc>
        <w:tc>
          <w:tcPr>
            <w:tcW w:w="743"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č.3</w:t>
            </w:r>
            <w:proofErr w:type="gramEnd"/>
          </w:p>
        </w:tc>
        <w:tc>
          <w:tcPr>
            <w:tcW w:w="743" w:type="pct"/>
            <w:tcBorders>
              <w:top w:val="single" w:sz="4" w:space="0" w:color="auto"/>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2250</w:t>
            </w:r>
          </w:p>
        </w:tc>
        <w:tc>
          <w:tcPr>
            <w:tcW w:w="700" w:type="pct"/>
            <w:tcBorders>
              <w:top w:val="single" w:sz="4" w:space="0" w:color="auto"/>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2327</w:t>
            </w:r>
          </w:p>
        </w:tc>
        <w:tc>
          <w:tcPr>
            <w:tcW w:w="774" w:type="pct"/>
            <w:tcBorders>
              <w:top w:val="single" w:sz="4" w:space="0" w:color="auto"/>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1267</w:t>
            </w:r>
          </w:p>
        </w:tc>
        <w:tc>
          <w:tcPr>
            <w:tcW w:w="564" w:type="pct"/>
            <w:tcBorders>
              <w:top w:val="single" w:sz="4" w:space="0" w:color="auto"/>
              <w:left w:val="nil"/>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2 250    </w:t>
            </w:r>
          </w:p>
        </w:tc>
        <w:tc>
          <w:tcPr>
            <w:tcW w:w="563" w:type="pct"/>
            <w:tcBorders>
              <w:top w:val="single" w:sz="4" w:space="0" w:color="auto"/>
              <w:left w:val="nil"/>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1 948    </w:t>
            </w:r>
          </w:p>
        </w:tc>
        <w:tc>
          <w:tcPr>
            <w:tcW w:w="774" w:type="pct"/>
            <w:tcBorders>
              <w:top w:val="single" w:sz="4" w:space="0" w:color="auto"/>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č.4</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1825</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1984</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2417</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1 984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2 075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č.13</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4228</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2092</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1526</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2 092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2 615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45"/>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lastRenderedPageBreak/>
              <w:t xml:space="preserve">exekutor </w:t>
            </w:r>
            <w:proofErr w:type="gramStart"/>
            <w:r w:rsidRPr="00482318">
              <w:rPr>
                <w:rFonts w:ascii="Book Antiqua" w:hAnsi="Book Antiqua"/>
                <w:b/>
                <w:bCs/>
              </w:rPr>
              <w:t>č.16</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4181</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3358</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1757</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3 358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3 099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15"/>
        </w:trPr>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i/>
                <w:iCs/>
                <w:color w:val="000000"/>
              </w:rPr>
            </w:pPr>
            <w:r w:rsidRPr="00482318">
              <w:rPr>
                <w:rFonts w:ascii="Book Antiqua" w:hAnsi="Book Antiqua"/>
                <w:i/>
                <w:iCs/>
                <w:color w:val="000000"/>
              </w:rPr>
              <w:t>nápad 1800 - 3000 + od roku 2001</w:t>
            </w:r>
          </w:p>
        </w:tc>
        <w:tc>
          <w:tcPr>
            <w:tcW w:w="743"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841187" w:rsidRPr="00482318" w:rsidRDefault="00841187" w:rsidP="00841187">
            <w:pPr>
              <w:jc w:val="center"/>
              <w:rPr>
                <w:rFonts w:ascii="Book Antiqua" w:hAnsi="Book Antiqua"/>
                <w:color w:val="000000"/>
              </w:rPr>
            </w:pP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č.3</w:t>
            </w:r>
            <w:proofErr w:type="gramEnd"/>
          </w:p>
        </w:tc>
        <w:tc>
          <w:tcPr>
            <w:tcW w:w="743" w:type="pct"/>
            <w:tcBorders>
              <w:top w:val="single" w:sz="4" w:space="0" w:color="auto"/>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2250</w:t>
            </w:r>
          </w:p>
        </w:tc>
        <w:tc>
          <w:tcPr>
            <w:tcW w:w="700" w:type="pct"/>
            <w:tcBorders>
              <w:top w:val="single" w:sz="4" w:space="0" w:color="auto"/>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2327</w:t>
            </w:r>
          </w:p>
        </w:tc>
        <w:tc>
          <w:tcPr>
            <w:tcW w:w="774" w:type="pct"/>
            <w:tcBorders>
              <w:top w:val="single" w:sz="4" w:space="0" w:color="auto"/>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1267</w:t>
            </w:r>
          </w:p>
        </w:tc>
        <w:tc>
          <w:tcPr>
            <w:tcW w:w="564" w:type="pct"/>
            <w:tcBorders>
              <w:top w:val="single" w:sz="4" w:space="0" w:color="auto"/>
              <w:left w:val="nil"/>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2 250    </w:t>
            </w:r>
          </w:p>
        </w:tc>
        <w:tc>
          <w:tcPr>
            <w:tcW w:w="563" w:type="pct"/>
            <w:tcBorders>
              <w:top w:val="single" w:sz="4" w:space="0" w:color="auto"/>
              <w:left w:val="nil"/>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1 948    </w:t>
            </w:r>
          </w:p>
        </w:tc>
        <w:tc>
          <w:tcPr>
            <w:tcW w:w="774" w:type="pct"/>
            <w:tcBorders>
              <w:top w:val="single" w:sz="4" w:space="0" w:color="auto"/>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č.4</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1825</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1984</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2417</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1 984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2 075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č.13</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4228</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2092</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1526</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2 092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2 615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č.16</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4181</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3358</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1757</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3 358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3 099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2118</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1213</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2218</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2 118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1 850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č.5</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1542</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1437</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3263</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1 542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2 081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č.12</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710</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3666</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3141</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3 141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2 506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30"/>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č.11</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2018</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2824</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2508</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2 508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2 450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OK </w:t>
            </w:r>
          </w:p>
        </w:tc>
      </w:tr>
      <w:tr w:rsidR="00841187" w:rsidRPr="00482318" w:rsidTr="00C3233A">
        <w:trPr>
          <w:trHeight w:val="345"/>
        </w:trPr>
        <w:tc>
          <w:tcPr>
            <w:tcW w:w="881" w:type="pct"/>
            <w:tcBorders>
              <w:top w:val="nil"/>
              <w:left w:val="single" w:sz="4" w:space="0" w:color="auto"/>
              <w:bottom w:val="single" w:sz="4" w:space="0" w:color="auto"/>
              <w:right w:val="single" w:sz="4" w:space="0" w:color="auto"/>
            </w:tcBorders>
            <w:shd w:val="clear" w:color="000000" w:fill="92D050"/>
            <w:noWrap/>
            <w:vAlign w:val="center"/>
            <w:hideMark/>
          </w:tcPr>
          <w:p w:rsidR="00841187" w:rsidRPr="00482318" w:rsidRDefault="00841187" w:rsidP="00841187">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č.10</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2922</w:t>
            </w:r>
          </w:p>
        </w:tc>
        <w:tc>
          <w:tcPr>
            <w:tcW w:w="700" w:type="pct"/>
            <w:tcBorders>
              <w:top w:val="nil"/>
              <w:left w:val="nil"/>
              <w:bottom w:val="single" w:sz="4" w:space="0" w:color="auto"/>
              <w:right w:val="single" w:sz="4" w:space="0" w:color="auto"/>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2845</w:t>
            </w:r>
          </w:p>
        </w:tc>
        <w:tc>
          <w:tcPr>
            <w:tcW w:w="774" w:type="pct"/>
            <w:tcBorders>
              <w:top w:val="nil"/>
              <w:left w:val="nil"/>
              <w:bottom w:val="single" w:sz="4" w:space="0" w:color="auto"/>
              <w:right w:val="nil"/>
            </w:tcBorders>
            <w:shd w:val="clear" w:color="000000" w:fill="92D05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1322</w:t>
            </w:r>
          </w:p>
        </w:tc>
        <w:tc>
          <w:tcPr>
            <w:tcW w:w="56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2 845    </w:t>
            </w:r>
          </w:p>
        </w:tc>
        <w:tc>
          <w:tcPr>
            <w:tcW w:w="563"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xml:space="preserve">               2 363    </w:t>
            </w:r>
          </w:p>
        </w:tc>
        <w:tc>
          <w:tcPr>
            <w:tcW w:w="774" w:type="pct"/>
            <w:tcBorders>
              <w:top w:val="nil"/>
              <w:left w:val="single" w:sz="4" w:space="0" w:color="auto"/>
              <w:bottom w:val="single" w:sz="4" w:space="0" w:color="auto"/>
              <w:right w:val="nil"/>
            </w:tcBorders>
            <w:shd w:val="clear" w:color="000000" w:fill="92D05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OK</w:t>
            </w:r>
          </w:p>
        </w:tc>
      </w:tr>
    </w:tbl>
    <w:p w:rsidR="00841187" w:rsidRDefault="00841187" w:rsidP="00841187">
      <w:pPr>
        <w:jc w:val="both"/>
        <w:rPr>
          <w:rFonts w:ascii="Book Antiqua" w:hAnsi="Book Antiqua"/>
        </w:rPr>
      </w:pPr>
    </w:p>
    <w:p w:rsidR="00841187" w:rsidRPr="00482318" w:rsidRDefault="00841187" w:rsidP="00841187">
      <w:pPr>
        <w:jc w:val="both"/>
        <w:rPr>
          <w:rFonts w:ascii="Book Antiqua" w:hAnsi="Book Antiqua"/>
        </w:rPr>
      </w:pPr>
      <w:r>
        <w:rPr>
          <w:rFonts w:ascii="Book Antiqua" w:hAnsi="Book Antiqua"/>
        </w:rPr>
        <w:t xml:space="preserve">Data o počtu </w:t>
      </w:r>
      <w:r w:rsidRPr="00FC4B50">
        <w:rPr>
          <w:rFonts w:ascii="Book Antiqua" w:hAnsi="Book Antiqua"/>
          <w:u w:val="single"/>
        </w:rPr>
        <w:t>aktivních</w:t>
      </w:r>
      <w:r>
        <w:rPr>
          <w:rFonts w:ascii="Book Antiqua" w:hAnsi="Book Antiqua"/>
        </w:rPr>
        <w:t xml:space="preserve"> (</w:t>
      </w:r>
      <w:r w:rsidRPr="00FC4B50">
        <w:rPr>
          <w:rFonts w:ascii="Book Antiqua" w:hAnsi="Book Antiqua"/>
          <w:i/>
        </w:rPr>
        <w:t>takže např. zaměstnanec na RD není počítán</w:t>
      </w:r>
      <w:r>
        <w:rPr>
          <w:rFonts w:ascii="Book Antiqua" w:hAnsi="Book Antiqua"/>
        </w:rPr>
        <w:t xml:space="preserve">) </w:t>
      </w:r>
      <w:r w:rsidRPr="00FC4B50">
        <w:rPr>
          <w:rFonts w:ascii="Book Antiqua" w:hAnsi="Book Antiqua"/>
          <w:u w:val="single"/>
        </w:rPr>
        <w:t xml:space="preserve">zaměstnanců </w:t>
      </w:r>
      <w:r>
        <w:rPr>
          <w:rFonts w:ascii="Book Antiqua" w:hAnsi="Book Antiqua"/>
        </w:rPr>
        <w:t>(</w:t>
      </w:r>
      <w:r w:rsidRPr="00FC4B50">
        <w:rPr>
          <w:rFonts w:ascii="Book Antiqua" w:hAnsi="Book Antiqua"/>
          <w:i/>
        </w:rPr>
        <w:t>přepočteno na úvazky</w:t>
      </w:r>
      <w:r>
        <w:rPr>
          <w:rFonts w:ascii="Book Antiqua" w:hAnsi="Book Antiqua"/>
        </w:rPr>
        <w:t xml:space="preserve">) </w:t>
      </w:r>
      <w:r w:rsidRPr="00482318">
        <w:rPr>
          <w:rFonts w:ascii="Book Antiqua" w:hAnsi="Book Antiqua"/>
        </w:rPr>
        <w:t>shora uvedených soudních exekutorů vypadají následovně:</w:t>
      </w:r>
    </w:p>
    <w:p w:rsidR="00841187" w:rsidRDefault="00841187" w:rsidP="00841187">
      <w:pPr>
        <w:jc w:val="both"/>
        <w:rPr>
          <w:rFonts w:ascii="Book Antiqua" w:hAnsi="Book Antiqua"/>
          <w:b/>
          <w:highlight w:val="yellow"/>
        </w:rPr>
      </w:pPr>
    </w:p>
    <w:tbl>
      <w:tblPr>
        <w:tblW w:w="4425" w:type="pct"/>
        <w:tblLayout w:type="fixed"/>
        <w:tblCellMar>
          <w:left w:w="70" w:type="dxa"/>
          <w:right w:w="70" w:type="dxa"/>
        </w:tblCellMar>
        <w:tblLook w:val="04A0"/>
      </w:tblPr>
      <w:tblGrid>
        <w:gridCol w:w="1488"/>
        <w:gridCol w:w="1135"/>
        <w:gridCol w:w="567"/>
        <w:gridCol w:w="1133"/>
        <w:gridCol w:w="995"/>
        <w:gridCol w:w="1133"/>
        <w:gridCol w:w="1702"/>
      </w:tblGrid>
      <w:tr w:rsidR="00841187" w:rsidRPr="00482318" w:rsidTr="00841187">
        <w:trPr>
          <w:trHeight w:val="1050"/>
        </w:trPr>
        <w:tc>
          <w:tcPr>
            <w:tcW w:w="912" w:type="pct"/>
            <w:tcBorders>
              <w:top w:val="nil"/>
              <w:left w:val="nil"/>
              <w:bottom w:val="nil"/>
              <w:right w:val="nil"/>
            </w:tcBorders>
            <w:shd w:val="clear" w:color="000000" w:fill="FFFFFF"/>
            <w:vAlign w:val="center"/>
          </w:tcPr>
          <w:p w:rsidR="00841187" w:rsidRPr="00482318" w:rsidRDefault="00841187" w:rsidP="00841187">
            <w:pPr>
              <w:jc w:val="center"/>
              <w:rPr>
                <w:rFonts w:ascii="Book Antiqua" w:hAnsi="Book Antiqua"/>
                <w:b/>
                <w:bCs/>
                <w:color w:val="000000"/>
              </w:rPr>
            </w:pPr>
          </w:p>
        </w:tc>
        <w:tc>
          <w:tcPr>
            <w:tcW w:w="696" w:type="pct"/>
            <w:tcBorders>
              <w:top w:val="nil"/>
              <w:left w:val="nil"/>
              <w:bottom w:val="nil"/>
              <w:right w:val="nil"/>
            </w:tcBorders>
            <w:shd w:val="clear" w:color="000000" w:fill="FFFFFF"/>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348" w:type="pct"/>
            <w:tcBorders>
              <w:top w:val="single" w:sz="8" w:space="0" w:color="auto"/>
              <w:left w:val="single" w:sz="8" w:space="0" w:color="auto"/>
              <w:bottom w:val="single" w:sz="8" w:space="0" w:color="auto"/>
              <w:right w:val="single" w:sz="8" w:space="0" w:color="auto"/>
            </w:tcBorders>
            <w:shd w:val="clear" w:color="000000" w:fill="FFFF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Počet kandidátů</w:t>
            </w:r>
          </w:p>
        </w:tc>
        <w:tc>
          <w:tcPr>
            <w:tcW w:w="695" w:type="pct"/>
            <w:tcBorders>
              <w:top w:val="single" w:sz="8" w:space="0" w:color="auto"/>
              <w:left w:val="nil"/>
              <w:bottom w:val="single" w:sz="8" w:space="0" w:color="auto"/>
              <w:right w:val="single" w:sz="8" w:space="0" w:color="auto"/>
            </w:tcBorders>
            <w:shd w:val="clear" w:color="000000" w:fill="FFFF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Počet koncipientů</w:t>
            </w:r>
          </w:p>
        </w:tc>
        <w:tc>
          <w:tcPr>
            <w:tcW w:w="610" w:type="pct"/>
            <w:tcBorders>
              <w:top w:val="single" w:sz="8" w:space="0" w:color="auto"/>
              <w:left w:val="nil"/>
              <w:bottom w:val="single" w:sz="8" w:space="0" w:color="auto"/>
              <w:right w:val="single" w:sz="8" w:space="0" w:color="auto"/>
            </w:tcBorders>
            <w:shd w:val="clear" w:color="000000" w:fill="FFFF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Počet vykonavatelů</w:t>
            </w:r>
          </w:p>
        </w:tc>
        <w:tc>
          <w:tcPr>
            <w:tcW w:w="695" w:type="pct"/>
            <w:tcBorders>
              <w:top w:val="single" w:sz="8" w:space="0" w:color="auto"/>
              <w:left w:val="nil"/>
              <w:bottom w:val="single" w:sz="8" w:space="0" w:color="auto"/>
              <w:right w:val="single" w:sz="8" w:space="0" w:color="auto"/>
            </w:tcBorders>
            <w:shd w:val="clear" w:color="000000" w:fill="FFFF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Počet dalších zaměstnanců</w:t>
            </w:r>
          </w:p>
        </w:tc>
        <w:tc>
          <w:tcPr>
            <w:tcW w:w="1044" w:type="pct"/>
            <w:tcBorders>
              <w:top w:val="single" w:sz="8" w:space="0" w:color="auto"/>
              <w:left w:val="nil"/>
              <w:bottom w:val="single" w:sz="8" w:space="0" w:color="auto"/>
              <w:right w:val="single" w:sz="8" w:space="0" w:color="auto"/>
            </w:tcBorders>
            <w:shd w:val="clear" w:color="000000" w:fill="FFFF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Počet zaměstnanců</w:t>
            </w:r>
          </w:p>
        </w:tc>
      </w:tr>
      <w:tr w:rsidR="00841187" w:rsidRPr="00482318" w:rsidTr="00841187">
        <w:trPr>
          <w:trHeight w:val="465"/>
        </w:trPr>
        <w:tc>
          <w:tcPr>
            <w:tcW w:w="912" w:type="pct"/>
            <w:tcBorders>
              <w:top w:val="single" w:sz="4" w:space="0" w:color="auto"/>
              <w:left w:val="single" w:sz="4" w:space="0" w:color="auto"/>
              <w:bottom w:val="single" w:sz="4" w:space="0" w:color="auto"/>
              <w:right w:val="single" w:sz="4" w:space="0" w:color="auto"/>
            </w:tcBorders>
            <w:shd w:val="clear" w:color="000000" w:fill="FFC000"/>
            <w:vAlign w:val="bottom"/>
          </w:tcPr>
          <w:p w:rsidR="00841187" w:rsidRDefault="00841187" w:rsidP="00841187">
            <w:pPr>
              <w:rPr>
                <w:rFonts w:ascii="Book Antiqua" w:hAnsi="Book Antiqua"/>
                <w:i/>
                <w:iCs/>
                <w:color w:val="000000"/>
              </w:rPr>
            </w:pPr>
            <w:r>
              <w:rPr>
                <w:rFonts w:ascii="Book Antiqua" w:hAnsi="Book Antiqua"/>
                <w:i/>
                <w:iCs/>
                <w:color w:val="000000"/>
              </w:rPr>
              <w:t>nápad 1800 - 3000</w:t>
            </w:r>
          </w:p>
        </w:tc>
        <w:tc>
          <w:tcPr>
            <w:tcW w:w="69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348" w:type="pct"/>
            <w:tcBorders>
              <w:top w:val="nil"/>
              <w:left w:val="nil"/>
              <w:bottom w:val="single" w:sz="4" w:space="0" w:color="auto"/>
              <w:right w:val="single" w:sz="4" w:space="0" w:color="auto"/>
            </w:tcBorders>
            <w:shd w:val="clear" w:color="000000" w:fill="FFFFFF"/>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695" w:type="pct"/>
            <w:tcBorders>
              <w:top w:val="nil"/>
              <w:left w:val="nil"/>
              <w:bottom w:val="single" w:sz="4" w:space="0" w:color="auto"/>
              <w:right w:val="single" w:sz="4" w:space="0" w:color="auto"/>
            </w:tcBorders>
            <w:shd w:val="clear" w:color="000000" w:fill="FFFFFF"/>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610" w:type="pct"/>
            <w:tcBorders>
              <w:top w:val="nil"/>
              <w:left w:val="nil"/>
              <w:bottom w:val="single" w:sz="4" w:space="0" w:color="auto"/>
              <w:right w:val="single" w:sz="4" w:space="0" w:color="auto"/>
            </w:tcBorders>
            <w:shd w:val="clear" w:color="000000" w:fill="FFFFFF"/>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695" w:type="pct"/>
            <w:tcBorders>
              <w:top w:val="nil"/>
              <w:left w:val="nil"/>
              <w:bottom w:val="single" w:sz="4" w:space="0" w:color="auto"/>
              <w:right w:val="single" w:sz="4" w:space="0" w:color="auto"/>
            </w:tcBorders>
            <w:shd w:val="clear" w:color="000000" w:fill="FFFFFF"/>
            <w:vAlign w:val="center"/>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w:t>
            </w:r>
          </w:p>
        </w:tc>
        <w:tc>
          <w:tcPr>
            <w:tcW w:w="1044"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5,5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8,5</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č.2</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3</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5</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4</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7</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č.4</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3</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19</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23</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č.5</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7,5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10,5</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č.6</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r>
              <w:rPr>
                <w:rFonts w:ascii="Book Antiqua" w:hAnsi="Book Antiqua"/>
                <w:color w:val="000000"/>
              </w:rPr>
              <w:t xml:space="preserve">vyloučen </w:t>
            </w:r>
          </w:p>
        </w:tc>
        <w:tc>
          <w:tcPr>
            <w:tcW w:w="348"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10"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7</w:t>
            </w:r>
          </w:p>
        </w:tc>
        <w:tc>
          <w:tcPr>
            <w:tcW w:w="1044"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9</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č.7</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3</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13</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č.8</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5,25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8,25</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č.9</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1,25</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5,5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8,75</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č.10</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11</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lastRenderedPageBreak/>
              <w:t xml:space="preserve">exekutor </w:t>
            </w:r>
            <w:proofErr w:type="gramStart"/>
            <w:r>
              <w:rPr>
                <w:rFonts w:ascii="Book Antiqua" w:hAnsi="Book Antiqua"/>
                <w:b/>
                <w:bCs/>
              </w:rPr>
              <w:t>č.11</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11</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č.12</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11</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1,5</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2,25</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9,25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14</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č.14</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12</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č.15</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10</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14</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č.16</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6</w:t>
            </w:r>
          </w:p>
        </w:tc>
        <w:tc>
          <w:tcPr>
            <w:tcW w:w="1044" w:type="pct"/>
            <w:tcBorders>
              <w:top w:val="nil"/>
              <w:left w:val="nil"/>
              <w:bottom w:val="nil"/>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9</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č.17</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Pr>
                <w:rFonts w:ascii="Book Antiqua" w:hAnsi="Book Antiqua"/>
                <w:color w:val="000000"/>
              </w:rPr>
              <w:t>vyloučen</w:t>
            </w: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c>
          <w:tcPr>
            <w:tcW w:w="695"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c>
          <w:tcPr>
            <w:tcW w:w="610"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c>
          <w:tcPr>
            <w:tcW w:w="695" w:type="pct"/>
            <w:tcBorders>
              <w:top w:val="nil"/>
              <w:left w:val="nil"/>
              <w:bottom w:val="single" w:sz="4" w:space="0" w:color="auto"/>
              <w:right w:val="single" w:sz="4" w:space="0" w:color="auto"/>
            </w:tcBorders>
            <w:shd w:val="clear" w:color="000000" w:fill="FF0000"/>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c>
          <w:tcPr>
            <w:tcW w:w="1044" w:type="pct"/>
            <w:tcBorders>
              <w:top w:val="single" w:sz="4" w:space="0" w:color="auto"/>
              <w:left w:val="nil"/>
              <w:bottom w:val="single" w:sz="4" w:space="0" w:color="auto"/>
              <w:right w:val="single" w:sz="4" w:space="0" w:color="auto"/>
            </w:tcBorders>
            <w:shd w:val="clear" w:color="000000" w:fill="FF0000"/>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r>
      <w:tr w:rsidR="00841187" w:rsidRPr="00482318" w:rsidTr="00841187">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č.18</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nedodal data</w:t>
            </w:r>
          </w:p>
        </w:tc>
      </w:tr>
      <w:tr w:rsidR="00841187" w:rsidRPr="00482318" w:rsidTr="00841187">
        <w:trPr>
          <w:trHeight w:val="345"/>
        </w:trPr>
        <w:tc>
          <w:tcPr>
            <w:tcW w:w="912" w:type="pct"/>
            <w:tcBorders>
              <w:top w:val="nil"/>
              <w:left w:val="single" w:sz="4" w:space="0" w:color="auto"/>
              <w:bottom w:val="single" w:sz="4" w:space="0" w:color="auto"/>
              <w:right w:val="nil"/>
            </w:tcBorders>
            <w:shd w:val="clear" w:color="000000" w:fill="FFC000"/>
            <w:vAlign w:val="bottom"/>
          </w:tcPr>
          <w:p w:rsidR="00841187" w:rsidRDefault="00841187" w:rsidP="00841187">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xml:space="preserve">Průměr </w:t>
            </w:r>
          </w:p>
        </w:tc>
        <w:tc>
          <w:tcPr>
            <w:tcW w:w="348"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0,67</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1,30</w:t>
            </w:r>
          </w:p>
        </w:tc>
        <w:tc>
          <w:tcPr>
            <w:tcW w:w="610"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1,43</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7,67</w:t>
            </w:r>
          </w:p>
        </w:tc>
        <w:tc>
          <w:tcPr>
            <w:tcW w:w="1044"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10,38</w:t>
            </w:r>
          </w:p>
        </w:tc>
      </w:tr>
      <w:tr w:rsidR="00841187" w:rsidRPr="00482318" w:rsidTr="00841187">
        <w:trPr>
          <w:trHeight w:val="345"/>
        </w:trPr>
        <w:tc>
          <w:tcPr>
            <w:tcW w:w="912" w:type="pct"/>
            <w:tcBorders>
              <w:top w:val="nil"/>
              <w:left w:val="single" w:sz="4" w:space="0" w:color="auto"/>
              <w:bottom w:val="single" w:sz="4" w:space="0" w:color="auto"/>
              <w:right w:val="nil"/>
            </w:tcBorders>
            <w:shd w:val="clear" w:color="000000" w:fill="FFC000"/>
            <w:vAlign w:val="bottom"/>
          </w:tcPr>
          <w:p w:rsidR="00841187" w:rsidRDefault="00841187" w:rsidP="00841187">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Medián</w:t>
            </w:r>
          </w:p>
        </w:tc>
        <w:tc>
          <w:tcPr>
            <w:tcW w:w="348" w:type="pct"/>
            <w:tcBorders>
              <w:top w:val="nil"/>
              <w:left w:val="single" w:sz="8"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nil"/>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10" w:type="pct"/>
            <w:tcBorders>
              <w:top w:val="nil"/>
              <w:left w:val="nil"/>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nil"/>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8,00</w:t>
            </w:r>
          </w:p>
        </w:tc>
        <w:tc>
          <w:tcPr>
            <w:tcW w:w="1044" w:type="pct"/>
            <w:tcBorders>
              <w:top w:val="nil"/>
              <w:left w:val="nil"/>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10,75</w:t>
            </w:r>
          </w:p>
        </w:tc>
      </w:tr>
      <w:tr w:rsidR="00841187" w:rsidRPr="00482318" w:rsidTr="00841187">
        <w:trPr>
          <w:trHeight w:val="315"/>
        </w:trPr>
        <w:tc>
          <w:tcPr>
            <w:tcW w:w="912" w:type="pct"/>
            <w:tcBorders>
              <w:top w:val="nil"/>
              <w:left w:val="single" w:sz="4" w:space="0" w:color="auto"/>
              <w:bottom w:val="single" w:sz="4" w:space="0" w:color="auto"/>
              <w:right w:val="single" w:sz="4" w:space="0" w:color="auto"/>
            </w:tcBorders>
            <w:shd w:val="clear" w:color="000000" w:fill="FFC000"/>
            <w:vAlign w:val="bottom"/>
          </w:tcPr>
          <w:p w:rsidR="00841187" w:rsidRDefault="00841187" w:rsidP="00841187">
            <w:pPr>
              <w:rPr>
                <w:rFonts w:ascii="Book Antiqua" w:hAnsi="Book Antiqua"/>
                <w:i/>
                <w:iCs/>
                <w:color w:val="000000"/>
              </w:rPr>
            </w:pPr>
            <w:r>
              <w:rPr>
                <w:rFonts w:ascii="Book Antiqua" w:hAnsi="Book Antiqua"/>
                <w:i/>
                <w:iCs/>
                <w:color w:val="000000"/>
              </w:rPr>
              <w:t>nápad 1800 - 3000 + Praha + od roku 2001</w:t>
            </w:r>
          </w:p>
        </w:tc>
        <w:tc>
          <w:tcPr>
            <w:tcW w:w="696" w:type="pct"/>
            <w:tcBorders>
              <w:top w:val="nil"/>
              <w:left w:val="single" w:sz="4" w:space="0" w:color="auto"/>
              <w:bottom w:val="single" w:sz="4" w:space="0" w:color="auto"/>
              <w:right w:val="single" w:sz="4" w:space="0" w:color="auto"/>
            </w:tcBorders>
            <w:shd w:val="clear" w:color="000000" w:fill="FFC00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695"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610"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695"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1044"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4</w:t>
            </w:r>
          </w:p>
        </w:tc>
        <w:tc>
          <w:tcPr>
            <w:tcW w:w="1044"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7</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č.4</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3</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19</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23</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1,5</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2,25</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9,25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14</w:t>
            </w:r>
          </w:p>
        </w:tc>
      </w:tr>
      <w:tr w:rsidR="00841187" w:rsidRPr="00482318" w:rsidTr="00841187">
        <w:trPr>
          <w:trHeight w:val="345"/>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č.16</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6</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9</w:t>
            </w:r>
          </w:p>
        </w:tc>
      </w:tr>
      <w:tr w:rsidR="00841187" w:rsidRPr="00482318" w:rsidTr="00841187">
        <w:trPr>
          <w:trHeight w:val="345"/>
        </w:trPr>
        <w:tc>
          <w:tcPr>
            <w:tcW w:w="912" w:type="pct"/>
            <w:tcBorders>
              <w:top w:val="nil"/>
              <w:left w:val="single" w:sz="4" w:space="0" w:color="auto"/>
              <w:bottom w:val="single" w:sz="4" w:space="0" w:color="auto"/>
              <w:right w:val="nil"/>
            </w:tcBorders>
            <w:shd w:val="clear" w:color="000000" w:fill="FFC000"/>
            <w:vAlign w:val="bottom"/>
          </w:tcPr>
          <w:p w:rsidR="00841187" w:rsidRDefault="00841187" w:rsidP="00841187">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xml:space="preserve">Průměr </w:t>
            </w:r>
          </w:p>
        </w:tc>
        <w:tc>
          <w:tcPr>
            <w:tcW w:w="348"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0,88</w:t>
            </w:r>
          </w:p>
        </w:tc>
        <w:tc>
          <w:tcPr>
            <w:tcW w:w="610"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1,81</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9,56</w:t>
            </w:r>
          </w:p>
        </w:tc>
        <w:tc>
          <w:tcPr>
            <w:tcW w:w="1044"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13,25</w:t>
            </w:r>
          </w:p>
        </w:tc>
      </w:tr>
      <w:tr w:rsidR="00841187" w:rsidRPr="00482318" w:rsidTr="00841187">
        <w:trPr>
          <w:trHeight w:val="345"/>
        </w:trPr>
        <w:tc>
          <w:tcPr>
            <w:tcW w:w="912" w:type="pct"/>
            <w:tcBorders>
              <w:top w:val="nil"/>
              <w:left w:val="single" w:sz="4" w:space="0" w:color="auto"/>
              <w:bottom w:val="single" w:sz="4" w:space="0" w:color="auto"/>
              <w:right w:val="nil"/>
            </w:tcBorders>
            <w:shd w:val="clear" w:color="000000" w:fill="FFC000"/>
            <w:vAlign w:val="bottom"/>
          </w:tcPr>
          <w:p w:rsidR="00841187" w:rsidRDefault="00841187" w:rsidP="00841187">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Medián</w:t>
            </w:r>
          </w:p>
        </w:tc>
        <w:tc>
          <w:tcPr>
            <w:tcW w:w="348"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10"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1,63</w:t>
            </w:r>
          </w:p>
        </w:tc>
        <w:tc>
          <w:tcPr>
            <w:tcW w:w="695"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7,63</w:t>
            </w:r>
          </w:p>
        </w:tc>
        <w:tc>
          <w:tcPr>
            <w:tcW w:w="1044"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11,50</w:t>
            </w:r>
          </w:p>
        </w:tc>
      </w:tr>
      <w:tr w:rsidR="00841187" w:rsidRPr="00482318" w:rsidTr="00841187">
        <w:trPr>
          <w:trHeight w:val="315"/>
        </w:trPr>
        <w:tc>
          <w:tcPr>
            <w:tcW w:w="912" w:type="pct"/>
            <w:tcBorders>
              <w:top w:val="nil"/>
              <w:left w:val="single" w:sz="4" w:space="0" w:color="auto"/>
              <w:bottom w:val="single" w:sz="4" w:space="0" w:color="auto"/>
              <w:right w:val="single" w:sz="4" w:space="0" w:color="auto"/>
            </w:tcBorders>
            <w:shd w:val="clear" w:color="000000" w:fill="FFC000"/>
            <w:vAlign w:val="bottom"/>
          </w:tcPr>
          <w:p w:rsidR="00841187" w:rsidRDefault="00841187" w:rsidP="00841187">
            <w:pPr>
              <w:rPr>
                <w:rFonts w:ascii="Book Antiqua" w:hAnsi="Book Antiqua"/>
                <w:i/>
                <w:iCs/>
                <w:color w:val="000000"/>
              </w:rPr>
            </w:pPr>
            <w:r>
              <w:rPr>
                <w:rFonts w:ascii="Book Antiqua" w:hAnsi="Book Antiqua"/>
                <w:i/>
                <w:iCs/>
                <w:color w:val="000000"/>
              </w:rPr>
              <w:t>nápad 1800 - 3000 + od roku 2001</w:t>
            </w:r>
          </w:p>
        </w:tc>
        <w:tc>
          <w:tcPr>
            <w:tcW w:w="696" w:type="pct"/>
            <w:tcBorders>
              <w:top w:val="nil"/>
              <w:left w:val="single" w:sz="4" w:space="0" w:color="auto"/>
              <w:bottom w:val="single" w:sz="4" w:space="0" w:color="auto"/>
              <w:right w:val="single" w:sz="4" w:space="0" w:color="auto"/>
            </w:tcBorders>
            <w:shd w:val="clear" w:color="000000" w:fill="FFC000"/>
            <w:noWrap/>
            <w:vAlign w:val="bottom"/>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695"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610"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695"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c>
          <w:tcPr>
            <w:tcW w:w="1044" w:type="pct"/>
            <w:tcBorders>
              <w:top w:val="nil"/>
              <w:left w:val="nil"/>
              <w:bottom w:val="nil"/>
              <w:right w:val="nil"/>
            </w:tcBorders>
            <w:shd w:val="clear" w:color="auto" w:fill="auto"/>
            <w:noWrap/>
            <w:vAlign w:val="bottom"/>
            <w:hideMark/>
          </w:tcPr>
          <w:p w:rsidR="00841187" w:rsidRPr="00482318" w:rsidRDefault="00841187" w:rsidP="00841187">
            <w:pPr>
              <w:rPr>
                <w:rFonts w:ascii="Book Antiqua" w:hAnsi="Book Antiqua"/>
                <w:color w:val="000000"/>
              </w:rPr>
            </w:pP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4</w:t>
            </w:r>
          </w:p>
        </w:tc>
        <w:tc>
          <w:tcPr>
            <w:tcW w:w="1044" w:type="pct"/>
            <w:tcBorders>
              <w:top w:val="single" w:sz="4" w:space="0" w:color="auto"/>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7</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č.4</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3</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19</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23</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1,5</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2,25</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9,25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14</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č.16</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6</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9</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lastRenderedPageBreak/>
              <w:t xml:space="preserve">exekutor </w:t>
            </w:r>
            <w:proofErr w:type="gramStart"/>
            <w:r>
              <w:rPr>
                <w:rFonts w:ascii="Book Antiqua" w:hAnsi="Book Antiqua"/>
                <w:b/>
                <w:bCs/>
              </w:rPr>
              <w:t>č.1</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5,5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8,5</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č.5</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7,5</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rPr>
                <w:rFonts w:ascii="Book Antiqua" w:hAnsi="Book Antiqua"/>
                <w:color w:val="000000"/>
              </w:rPr>
            </w:pPr>
            <w:r w:rsidRPr="00482318">
              <w:rPr>
                <w:rFonts w:ascii="Book Antiqua" w:hAnsi="Book Antiqua"/>
                <w:color w:val="000000"/>
              </w:rPr>
              <w:t xml:space="preserve">    </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č.12</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11</w:t>
            </w:r>
          </w:p>
        </w:tc>
      </w:tr>
      <w:tr w:rsidR="00841187" w:rsidRPr="00482318" w:rsidTr="00841187">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č.11</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11</w:t>
            </w:r>
          </w:p>
        </w:tc>
      </w:tr>
      <w:tr w:rsidR="00841187" w:rsidRPr="00482318" w:rsidTr="00841187">
        <w:trPr>
          <w:trHeight w:val="345"/>
        </w:trPr>
        <w:tc>
          <w:tcPr>
            <w:tcW w:w="912" w:type="pct"/>
            <w:tcBorders>
              <w:top w:val="nil"/>
              <w:left w:val="single" w:sz="4" w:space="0" w:color="auto"/>
              <w:bottom w:val="single" w:sz="4" w:space="0" w:color="auto"/>
              <w:right w:val="single" w:sz="4" w:space="0" w:color="auto"/>
            </w:tcBorders>
            <w:shd w:val="clear" w:color="000000" w:fill="FFC000"/>
            <w:vAlign w:val="center"/>
          </w:tcPr>
          <w:p w:rsidR="00841187" w:rsidRDefault="00841187" w:rsidP="00841187">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č.10</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841187" w:rsidRPr="00482318" w:rsidRDefault="00841187" w:rsidP="00841187">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841187" w:rsidRPr="00482318" w:rsidRDefault="00841187" w:rsidP="00841187">
            <w:pPr>
              <w:jc w:val="right"/>
              <w:rPr>
                <w:rFonts w:ascii="Book Antiqua" w:hAnsi="Book Antiqua"/>
                <w:color w:val="000000"/>
              </w:rPr>
            </w:pPr>
            <w:r w:rsidRPr="00482318">
              <w:rPr>
                <w:rFonts w:ascii="Book Antiqua" w:hAnsi="Book Antiqua"/>
                <w:color w:val="000000"/>
              </w:rPr>
              <w:t>11</w:t>
            </w:r>
          </w:p>
        </w:tc>
      </w:tr>
      <w:tr w:rsidR="00841187" w:rsidRPr="00482318" w:rsidTr="00841187">
        <w:trPr>
          <w:trHeight w:val="345"/>
        </w:trPr>
        <w:tc>
          <w:tcPr>
            <w:tcW w:w="912" w:type="pct"/>
            <w:tcBorders>
              <w:top w:val="nil"/>
              <w:left w:val="single" w:sz="4" w:space="0" w:color="auto"/>
              <w:bottom w:val="single" w:sz="4" w:space="0" w:color="auto"/>
              <w:right w:val="nil"/>
            </w:tcBorders>
            <w:shd w:val="clear" w:color="000000" w:fill="FFC000"/>
            <w:vAlign w:val="bottom"/>
          </w:tcPr>
          <w:p w:rsidR="00841187" w:rsidRDefault="00841187" w:rsidP="00841187">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 xml:space="preserve">Průměr </w:t>
            </w:r>
          </w:p>
        </w:tc>
        <w:tc>
          <w:tcPr>
            <w:tcW w:w="348"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0,89</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1,06</w:t>
            </w:r>
          </w:p>
        </w:tc>
        <w:tc>
          <w:tcPr>
            <w:tcW w:w="610"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1,36</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8,36</w:t>
            </w:r>
          </w:p>
        </w:tc>
        <w:tc>
          <w:tcPr>
            <w:tcW w:w="1044"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11,81</w:t>
            </w:r>
          </w:p>
        </w:tc>
      </w:tr>
      <w:tr w:rsidR="00841187" w:rsidRPr="00482318" w:rsidTr="00841187">
        <w:trPr>
          <w:trHeight w:val="345"/>
        </w:trPr>
        <w:tc>
          <w:tcPr>
            <w:tcW w:w="912" w:type="pct"/>
            <w:tcBorders>
              <w:top w:val="nil"/>
              <w:left w:val="single" w:sz="4" w:space="0" w:color="auto"/>
              <w:bottom w:val="single" w:sz="4" w:space="0" w:color="auto"/>
              <w:right w:val="nil"/>
            </w:tcBorders>
            <w:shd w:val="clear" w:color="000000" w:fill="FFC000"/>
            <w:vAlign w:val="bottom"/>
          </w:tcPr>
          <w:p w:rsidR="00841187" w:rsidRDefault="00841187" w:rsidP="00841187">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841187" w:rsidRPr="00482318" w:rsidRDefault="00841187" w:rsidP="00841187">
            <w:pPr>
              <w:jc w:val="center"/>
              <w:rPr>
                <w:rFonts w:ascii="Book Antiqua" w:hAnsi="Book Antiqua"/>
                <w:b/>
                <w:bCs/>
                <w:color w:val="000000"/>
              </w:rPr>
            </w:pPr>
            <w:r w:rsidRPr="00482318">
              <w:rPr>
                <w:rFonts w:ascii="Book Antiqua" w:hAnsi="Book Antiqua"/>
                <w:b/>
                <w:bCs/>
                <w:color w:val="000000"/>
              </w:rPr>
              <w:t>Medián</w:t>
            </w:r>
          </w:p>
        </w:tc>
        <w:tc>
          <w:tcPr>
            <w:tcW w:w="348"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10"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8,00</w:t>
            </w:r>
          </w:p>
        </w:tc>
        <w:tc>
          <w:tcPr>
            <w:tcW w:w="1044" w:type="pct"/>
            <w:tcBorders>
              <w:top w:val="nil"/>
              <w:left w:val="single" w:sz="4" w:space="0" w:color="auto"/>
              <w:bottom w:val="single" w:sz="8" w:space="0" w:color="auto"/>
              <w:right w:val="single" w:sz="8" w:space="0" w:color="auto"/>
            </w:tcBorders>
            <w:shd w:val="clear" w:color="000000" w:fill="FFC000"/>
            <w:noWrap/>
            <w:vAlign w:val="bottom"/>
            <w:hideMark/>
          </w:tcPr>
          <w:p w:rsidR="00841187" w:rsidRPr="00482318" w:rsidRDefault="00841187" w:rsidP="00841187">
            <w:pPr>
              <w:jc w:val="right"/>
              <w:rPr>
                <w:rFonts w:ascii="Book Antiqua" w:hAnsi="Book Antiqua"/>
                <w:b/>
                <w:bCs/>
                <w:color w:val="000000"/>
              </w:rPr>
            </w:pPr>
            <w:r w:rsidRPr="00482318">
              <w:rPr>
                <w:rFonts w:ascii="Book Antiqua" w:hAnsi="Book Antiqua"/>
                <w:b/>
                <w:bCs/>
                <w:color w:val="000000"/>
              </w:rPr>
              <w:t>11,00</w:t>
            </w:r>
          </w:p>
        </w:tc>
      </w:tr>
    </w:tbl>
    <w:p w:rsidR="00841187" w:rsidRPr="00465B59" w:rsidRDefault="00841187" w:rsidP="00465B59">
      <w:pPr>
        <w:spacing w:before="120"/>
        <w:jc w:val="both"/>
        <w:rPr>
          <w:b/>
        </w:rPr>
      </w:pPr>
      <w:r w:rsidRPr="00465B59">
        <w:t xml:space="preserve">Ze shora uvedených dat je patrné, že bez ohledu na vymezení referenčního úřadu se počet zaměstnanců soudních exekutorů, které jsou nejblíže modelovému úřadu, pohybuje </w:t>
      </w:r>
      <w:r w:rsidRPr="00465B59">
        <w:rPr>
          <w:b/>
        </w:rPr>
        <w:t>v rozmezí 5 – 23 zaměstnanců, průměrně pak kolem 10 – 11 zaměstnanců.</w:t>
      </w:r>
    </w:p>
    <w:p w:rsidR="00841187" w:rsidRPr="00465B59" w:rsidRDefault="00841187" w:rsidP="00465B59">
      <w:pPr>
        <w:spacing w:before="120"/>
        <w:jc w:val="both"/>
      </w:pPr>
      <w:r w:rsidRPr="00465B59">
        <w:t>Dochází-li Ministerstvo spravedlnosti k závěru, že modelový úřad zvládne svůj nápad se šesti zaměstnanci, tedy prakticky s polovinou reálného počtu, je zde patrný značný nesoulad, který lze vysvětlit dvojím způsobem - buď jsou téměř všichni soudní exekutoři neefektivní anebo parametry zvoleného modelového úřadu jsou vadné. S ohledem na to, že mzdové výdaje jsou u soudních exekutorů jednou z největších výdajových položek, je patrné, že celý koncept zvoleného modelového úřadu je zcela mimo ekonomickou realitu</w:t>
      </w:r>
      <w:r w:rsidR="00C3233A" w:rsidRPr="00465B59">
        <w:t>.</w:t>
      </w:r>
      <w:r w:rsidRPr="00465B59">
        <w:t xml:space="preserve"> </w:t>
      </w:r>
      <w:r w:rsidR="00C3233A" w:rsidRPr="00465B59">
        <w:t>Z</w:t>
      </w:r>
      <w:r w:rsidRPr="00465B59">
        <w:t> celkového počtu 6,9 milionu dopos</w:t>
      </w:r>
      <w:r w:rsidR="00CD2870">
        <w:t>u</w:t>
      </w:r>
      <w:r w:rsidRPr="00465B59">
        <w:t xml:space="preserve">d zahájených exekucí byla dosud skončena jen 1/3 a 159 existujících exekutorských úřadů vede 4,6 milionu „živých“ exekucí – to je průměrně 30.000 běžících exekucí na úřad. Tuto skutečnost model zcela opomíjí, neuvažuje s náklady na tyto exekuce nutně vynakládanými ani se zaměstnanci pro jejich vedení potřebnými – v modelu předkladatele jsou všechny exekuce jednoduše i skončeny v roce, kdy byly zahájeny. To vede </w:t>
      </w:r>
      <w:r w:rsidRPr="00465B59">
        <w:rPr>
          <w:b/>
        </w:rPr>
        <w:t>k zásadnímu zkreslení ekonomiky</w:t>
      </w:r>
      <w:r w:rsidRPr="00465B59">
        <w:t xml:space="preserve"> exekutorského úřadu v modelu předkladatele – k naprostému podhodnocení jeho nákladové stránky a z toho plynoucímu neodůvodněně optimistickému náhledu na hospodářský výsle</w:t>
      </w:r>
      <w:bookmarkStart w:id="0" w:name="_GoBack"/>
      <w:bookmarkEnd w:id="0"/>
      <w:r w:rsidRPr="00465B59">
        <w:t>dek modelového úřadu, z něhož je předkladatelem dovozována možnost snížení tarifu a schopnost exekutorských úřadů toto snížení absorbovat a pokračovat v činnosti.</w:t>
      </w:r>
    </w:p>
    <w:p w:rsidR="00C272D2" w:rsidRDefault="00DD24A7" w:rsidP="00C272D2">
      <w:pPr>
        <w:widowControl w:val="0"/>
        <w:autoSpaceDE w:val="0"/>
        <w:autoSpaceDN w:val="0"/>
        <w:adjustRightInd w:val="0"/>
        <w:spacing w:before="200" w:after="200"/>
        <w:jc w:val="both"/>
        <w:rPr>
          <w:i/>
        </w:rPr>
      </w:pPr>
      <w:r w:rsidRPr="00465B59">
        <w:t>Dodejme, že s návrhem vyhlášky nesouhlasil ani Nejvyšší správní soud</w:t>
      </w:r>
      <w:r w:rsidR="00465B59" w:rsidRPr="00465B59">
        <w:t xml:space="preserve"> dopisem jeho předsedy z 28. 7. 2016.</w:t>
      </w:r>
      <w:r w:rsidR="00552EAD">
        <w:t xml:space="preserve"> Rovněž Nejvyšší soud měl negativní přístup ke změně iniciované ministrem </w:t>
      </w:r>
      <w:r w:rsidR="001240C0">
        <w:t xml:space="preserve">JUDr. Robertem </w:t>
      </w:r>
      <w:r w:rsidR="00552EAD">
        <w:t>Pelikánem</w:t>
      </w:r>
      <w:r w:rsidR="001240C0">
        <w:t xml:space="preserve">, </w:t>
      </w:r>
      <w:proofErr w:type="spellStart"/>
      <w:r w:rsidR="001240C0">
        <w:t>Ph.D</w:t>
      </w:r>
      <w:proofErr w:type="spellEnd"/>
      <w:r w:rsidR="001240C0">
        <w:t>.,</w:t>
      </w:r>
      <w:r w:rsidR="00552EAD">
        <w:t xml:space="preserve"> a uvedl ve svém stanovisku k návrhu napadené vyhlášky: </w:t>
      </w:r>
      <w:r w:rsidR="00552EAD" w:rsidRPr="00552EAD">
        <w:rPr>
          <w:i/>
        </w:rPr>
        <w:t>„…předkladatel se nevypořádal s případnými přínosy a riziky navrhované změny právní úpravy dostatečně důkladně a měl by svůj Návrh lépe propracovat a odůvodnit. V této podobě totiž není zřejmé, čeho jím chce vlastně dosáhnout, a zda si všechna rizika, s navrhovanou úpravou spojená, uvědomuje.“.</w:t>
      </w:r>
      <w:r w:rsidR="00C272D2">
        <w:rPr>
          <w:i/>
        </w:rPr>
        <w:t xml:space="preserve"> </w:t>
      </w:r>
    </w:p>
    <w:p w:rsidR="00DD24A7" w:rsidRPr="00552EAD" w:rsidRDefault="00C272D2" w:rsidP="00C272D2">
      <w:pPr>
        <w:widowControl w:val="0"/>
        <w:autoSpaceDE w:val="0"/>
        <w:autoSpaceDN w:val="0"/>
        <w:adjustRightInd w:val="0"/>
        <w:spacing w:before="200" w:after="200"/>
        <w:jc w:val="both"/>
        <w:rPr>
          <w:i/>
        </w:rPr>
      </w:pPr>
      <w:r>
        <w:t xml:space="preserve">Nesouhlas vyjádřil mimo jiné místopředseda vlády Pavel </w:t>
      </w:r>
      <w:proofErr w:type="spellStart"/>
      <w:r>
        <w:t>Bělobrádek</w:t>
      </w:r>
      <w:proofErr w:type="spellEnd"/>
      <w:r>
        <w:t xml:space="preserve">, který výstižně k návrhu napadené vyhlášky uvedl: </w:t>
      </w:r>
      <w:r w:rsidRPr="00C272D2">
        <w:rPr>
          <w:i/>
        </w:rPr>
        <w:t xml:space="preserve">„Ve zprávě RIA není dostatečně popsáno, jaký efekt budou mít navrhované změny na další parametry exekučního řízení (např. na právo dle čl. 36 Listiny základních práv a svobod). Soudní exekutor má být na základě § 2 exekučního řádu nezávislý, zároveň jeho úkony jsou považovány dle § 28 téhož zákona za úkony exekučního soudu (srov. např. nálezy Ústavního soudu </w:t>
      </w:r>
      <w:proofErr w:type="spellStart"/>
      <w:r w:rsidRPr="00C272D2">
        <w:rPr>
          <w:i/>
        </w:rPr>
        <w:t>sp</w:t>
      </w:r>
      <w:proofErr w:type="spellEnd"/>
      <w:r w:rsidRPr="00C272D2">
        <w:rPr>
          <w:i/>
        </w:rPr>
        <w:t xml:space="preserve">. zn. </w:t>
      </w:r>
      <w:proofErr w:type="spellStart"/>
      <w:r w:rsidRPr="00C272D2">
        <w:rPr>
          <w:i/>
        </w:rPr>
        <w:t>Pl</w:t>
      </w:r>
      <w:proofErr w:type="spellEnd"/>
      <w:r w:rsidRPr="00C272D2">
        <w:rPr>
          <w:i/>
        </w:rPr>
        <w:t xml:space="preserve">. ÚS 28/13 a </w:t>
      </w:r>
      <w:proofErr w:type="spellStart"/>
      <w:r w:rsidRPr="00C272D2">
        <w:rPr>
          <w:i/>
        </w:rPr>
        <w:t>Pl</w:t>
      </w:r>
      <w:proofErr w:type="spellEnd"/>
      <w:r w:rsidRPr="00C272D2">
        <w:rPr>
          <w:i/>
        </w:rPr>
        <w:t xml:space="preserve">. ÚS 33/11 týkající se nezávislosti soudní moci). Odůvodnění předkládaného návrhu se z velké části zaměřuje na snížení odměny soudního exekutora, ale již nevěnuje pozornost dalším dopadům na dlužníky a věřitele (včetně např. rychlosti a efektivity exekučního řízení – dle § 46 exekučního řádu má exekutor zajišťovat rychlé a účelné vedení exekuce, k čemuž ovšem musí mít zajištěny i ekonomické </w:t>
      </w:r>
      <w:r w:rsidRPr="00C272D2">
        <w:rPr>
          <w:i/>
        </w:rPr>
        <w:lastRenderedPageBreak/>
        <w:t>podmínky). Uvedené pravidlo, podle kterého má každé snížení nákladů exekuce pozitivní dopad na sociální situaci dlužníků a rychlost vymožení pohledávek by v absurdním případně vedlo ke snížení odměny exekutora až na 0,- Kč. Taková změna by však znamenala konec vymáhání pohledávek v České republice.“</w:t>
      </w:r>
    </w:p>
    <w:p w:rsidR="00465B59" w:rsidRDefault="00465B59" w:rsidP="00552EAD">
      <w:pPr>
        <w:spacing w:before="120"/>
        <w:jc w:val="both"/>
      </w:pPr>
      <w:r w:rsidRPr="00465B59">
        <w:rPr>
          <w:b/>
        </w:rPr>
        <w:t>Důkaz:</w:t>
      </w:r>
      <w:r w:rsidR="00552EAD">
        <w:rPr>
          <w:b/>
        </w:rPr>
        <w:tab/>
      </w:r>
      <w:r w:rsidR="00C272D2" w:rsidRPr="00C272D2">
        <w:t>Stanovisko</w:t>
      </w:r>
      <w:r w:rsidR="00C272D2">
        <w:rPr>
          <w:b/>
        </w:rPr>
        <w:t xml:space="preserve"> </w:t>
      </w:r>
      <w:r w:rsidR="00CD2870">
        <w:t>NSS z 28. 7. 2016</w:t>
      </w:r>
    </w:p>
    <w:p w:rsidR="00552EAD" w:rsidRDefault="00552EAD" w:rsidP="00552EAD">
      <w:pPr>
        <w:jc w:val="both"/>
      </w:pPr>
      <w:r>
        <w:tab/>
      </w:r>
      <w:r>
        <w:tab/>
        <w:t>Stanovisko Nejvyššího soudu</w:t>
      </w:r>
    </w:p>
    <w:p w:rsidR="00C272D2" w:rsidRPr="00465B59" w:rsidRDefault="00C272D2" w:rsidP="00552EAD">
      <w:pPr>
        <w:jc w:val="both"/>
      </w:pPr>
      <w:r>
        <w:tab/>
      </w:r>
      <w:r>
        <w:tab/>
        <w:t xml:space="preserve">Stanovisko místopředsedy vlády </w:t>
      </w:r>
      <w:proofErr w:type="spellStart"/>
      <w:r>
        <w:t>Bělobrádka</w:t>
      </w:r>
      <w:proofErr w:type="spellEnd"/>
    </w:p>
    <w:p w:rsidR="00E46CD6" w:rsidRPr="00465B59" w:rsidRDefault="00E46CD6" w:rsidP="00465B59">
      <w:pPr>
        <w:tabs>
          <w:tab w:val="left" w:pos="1260"/>
          <w:tab w:val="left" w:pos="1440"/>
          <w:tab w:val="left" w:pos="5760"/>
        </w:tabs>
        <w:spacing w:before="120"/>
        <w:jc w:val="both"/>
      </w:pPr>
    </w:p>
    <w:p w:rsidR="00CF6A2A" w:rsidRPr="00CF6A2A" w:rsidRDefault="00CF6A2A" w:rsidP="00BF2A57">
      <w:pPr>
        <w:pStyle w:val="Odstavecseseznamem"/>
        <w:numPr>
          <w:ilvl w:val="0"/>
          <w:numId w:val="1"/>
        </w:numPr>
        <w:tabs>
          <w:tab w:val="left" w:pos="1260"/>
          <w:tab w:val="left" w:pos="1440"/>
          <w:tab w:val="left" w:pos="5760"/>
        </w:tabs>
        <w:spacing w:before="120"/>
        <w:jc w:val="center"/>
        <w:rPr>
          <w:b/>
        </w:rPr>
      </w:pPr>
      <w:r w:rsidRPr="00465B59">
        <w:rPr>
          <w:b/>
        </w:rPr>
        <w:t>Legitimní očekávání</w:t>
      </w:r>
      <w:r w:rsidR="00042985" w:rsidRPr="00465B59">
        <w:rPr>
          <w:b/>
        </w:rPr>
        <w:t xml:space="preserve"> a právo na provoz hospodářské činnosti</w:t>
      </w:r>
      <w:r w:rsidR="00F07877" w:rsidRPr="00465B59">
        <w:rPr>
          <w:b/>
        </w:rPr>
        <w:t xml:space="preserve"> – čl. 26 odst. 1</w:t>
      </w:r>
      <w:r w:rsidR="00F07877">
        <w:rPr>
          <w:b/>
        </w:rPr>
        <w:t xml:space="preserve"> Listiny</w:t>
      </w:r>
    </w:p>
    <w:p w:rsidR="00CF6A2A" w:rsidRDefault="00CF6A2A" w:rsidP="00CF6A2A">
      <w:pPr>
        <w:tabs>
          <w:tab w:val="left" w:pos="1260"/>
          <w:tab w:val="left" w:pos="1440"/>
          <w:tab w:val="left" w:pos="5760"/>
        </w:tabs>
        <w:spacing w:before="120"/>
        <w:jc w:val="both"/>
      </w:pPr>
      <w:r>
        <w:t>Ústavní soud uznal za chráněnou právní hodnotu i legitimní očekávání. Tedy, že osoba, která se přizpůsobí určité právní situaci</w:t>
      </w:r>
      <w:r w:rsidR="00365646">
        <w:t>,</w:t>
      </w:r>
      <w:r>
        <w:t xml:space="preserve"> má právo očekávat, že dosáhne příslušného výsledku a tento nebude svévolně mařen. To platí i pro exekutory, kteří jsou v postavení osob samostatně výdělečně činných – podnikatelů</w:t>
      </w:r>
      <w:r w:rsidR="00042985">
        <w:t xml:space="preserve"> (provozovatelů hospodářské činnosti)</w:t>
      </w:r>
      <w:r>
        <w:t>. Pokud stát sníží platby, které byly s touto činností dlouhodobě spojeny, narušuje legitimní očekávání exekutorů na příslušný výnos ze své činnosti.</w:t>
      </w:r>
    </w:p>
    <w:p w:rsidR="00042985" w:rsidRPr="00042985" w:rsidRDefault="00042985" w:rsidP="00042985">
      <w:pPr>
        <w:pStyle w:val="Normlnweb"/>
        <w:shd w:val="clear" w:color="auto" w:fill="FFFFFF"/>
        <w:spacing w:before="120"/>
        <w:jc w:val="both"/>
        <w:rPr>
          <w:color w:val="auto"/>
        </w:rPr>
      </w:pPr>
      <w:r w:rsidRPr="00C50328">
        <w:t>Ústavní soud chrán</w:t>
      </w:r>
      <w:r>
        <w:t>í</w:t>
      </w:r>
      <w:r w:rsidRPr="00C50328">
        <w:t xml:space="preserve"> legitimní očekávání. Dle něj již jednou vzniklé právo na realizaci nějakého práva v budoucnu nelze jednostranně odejmout. Vůči právnímu předpisu tak učinil nálezem,</w:t>
      </w:r>
      <w:r w:rsidRPr="00C50328">
        <w:rPr>
          <w:rStyle w:val="Znakapoznpodarou"/>
        </w:rPr>
        <w:footnoteReference w:id="12"/>
      </w:r>
      <w:r w:rsidRPr="00C50328">
        <w:t xml:space="preserve"> který zrušil část zákona,</w:t>
      </w:r>
      <w:r w:rsidRPr="00C50328">
        <w:rPr>
          <w:rStyle w:val="Znakapoznpodarou"/>
        </w:rPr>
        <w:footnoteReference w:id="13"/>
      </w:r>
      <w:r w:rsidRPr="00C50328">
        <w:t xml:space="preserve"> jež rušila zákonnou úpravu přeměny práva trvalého užívání v právo vlastnické.</w:t>
      </w:r>
      <w:r w:rsidRPr="00C50328">
        <w:rPr>
          <w:rStyle w:val="Znakapoznpodarou"/>
        </w:rPr>
        <w:footnoteReference w:id="14"/>
      </w:r>
      <w:r w:rsidRPr="00C50328">
        <w:t xml:space="preserve"> Ústavní soud konstatoval neústavnost zákona, který rušil právo budoucího přechodu trvalého užívání na vlastnictví v době, kdy ke vzniku vlastnictví ještě nedošlo. Ústavní soud prohlásil, že osobám vzniklo legitimní očekávání vzniku vlastnictví uplynutím doby jednoho roku. Toto legitimní očekávání je již samo o sobě způsobilé ochrany. I když je zřejmé, že legitimní očekávání v oblasti vlastnického práva nelze promítnout se stejnými důsledky do všech oblastí práva, přesto i v těchto jiných oblastech práva stojí alespoň za zhodnocení.</w:t>
      </w:r>
      <w:r w:rsidRPr="00C50328">
        <w:rPr>
          <w:rStyle w:val="Znakapoznpodarou"/>
        </w:rPr>
        <w:footnoteReference w:id="15"/>
      </w:r>
      <w:r w:rsidR="00F07877">
        <w:t xml:space="preserve"> </w:t>
      </w:r>
      <w:r w:rsidRPr="00C50328">
        <w:rPr>
          <w:color w:val="auto"/>
        </w:rPr>
        <w:t xml:space="preserve">Přitom Ústavní soud dříve konstatoval: </w:t>
      </w:r>
      <w:r w:rsidRPr="00C50328">
        <w:rPr>
          <w:i/>
          <w:color w:val="auto"/>
        </w:rPr>
        <w:t>„Princip předvídatelnosti práva jakožto důležitý atribut právního státu podstatným způsobem souvisí s principem právní jistoty a je nezbytným předpokladem důvěry občanů v právo.“</w:t>
      </w:r>
      <w:r w:rsidRPr="00C50328">
        <w:rPr>
          <w:rStyle w:val="Znakapoznpodarou"/>
          <w:i/>
          <w:color w:val="auto"/>
        </w:rPr>
        <w:footnoteReference w:id="16"/>
      </w:r>
    </w:p>
    <w:p w:rsidR="00CF6A2A" w:rsidRDefault="00CF6A2A" w:rsidP="00CF6A2A">
      <w:pPr>
        <w:tabs>
          <w:tab w:val="left" w:pos="1260"/>
          <w:tab w:val="left" w:pos="1440"/>
          <w:tab w:val="left" w:pos="5760"/>
        </w:tabs>
        <w:spacing w:before="120"/>
        <w:jc w:val="both"/>
      </w:pPr>
      <w:r>
        <w:t>Soudní exekutor je sice z daňového hlediska a občanského práva podnikatelem</w:t>
      </w:r>
      <w:r w:rsidR="00042985">
        <w:t xml:space="preserve"> (provozovatelem hospodářské činnosti)</w:t>
      </w:r>
      <w:r>
        <w:t xml:space="preserve">, ale jeho činnost je regulována státem více než jiné podnikatelské profese, jelikož je na něj přenesená část veřejné moci. Zatímco </w:t>
      </w:r>
      <w:r w:rsidR="00042985">
        <w:t xml:space="preserve">běžný </w:t>
      </w:r>
      <w:r>
        <w:t>podnikatel může odmítnout malou zakázku, která se mu nevyplatí, jelikož je subjektem smluvní volnosti a svobody, tak exekutor nemůže říci, že nebude provádět malé exekuce, protože jsou pro něj ztrátové. Každá vysouzená pohledávka musí být realizována, pokud to navrhne oprávněný, a exekutoru se nedostává smluvní volnosti odmítnout ztrátové případy.</w:t>
      </w:r>
    </w:p>
    <w:p w:rsidR="00CF6A2A" w:rsidRDefault="00CF6A2A" w:rsidP="00CF6A2A">
      <w:pPr>
        <w:tabs>
          <w:tab w:val="left" w:pos="1260"/>
          <w:tab w:val="left" w:pos="1440"/>
          <w:tab w:val="left" w:pos="5760"/>
        </w:tabs>
        <w:spacing w:before="120"/>
        <w:jc w:val="both"/>
      </w:pPr>
      <w:r>
        <w:t xml:space="preserve">To však na druhé straně zavazuje stát k tomu, aby odměnu exekutora, jakožto fakticky regulovanou cenu za jeho činnost, stanovil v takové míře, která je schopna zajistit dlouhodobý </w:t>
      </w:r>
      <w:r>
        <w:lastRenderedPageBreak/>
        <w:t>výkon této činnosti a nepřistupoval k nedůvodným změnám. Pok</w:t>
      </w:r>
      <w:r w:rsidR="00042985">
        <w:t>ud tak učinil formou napadené vyhlášky, pak je narušeno legitimní očekávání a právo na podnikání či provoz jiné hospodářské činnosti dle čl. 26 odst. 1 Listiny.</w:t>
      </w:r>
      <w:r>
        <w:t xml:space="preserve"> </w:t>
      </w:r>
    </w:p>
    <w:p w:rsidR="00F665D7" w:rsidRPr="00CF6A2A" w:rsidRDefault="00F665D7" w:rsidP="00CF6A2A">
      <w:pPr>
        <w:tabs>
          <w:tab w:val="left" w:pos="1260"/>
          <w:tab w:val="left" w:pos="1440"/>
          <w:tab w:val="left" w:pos="5760"/>
        </w:tabs>
        <w:spacing w:before="120"/>
        <w:rPr>
          <w:b/>
        </w:rPr>
      </w:pPr>
    </w:p>
    <w:p w:rsidR="00AA7B09" w:rsidRDefault="00AA7B09" w:rsidP="00BF2A57">
      <w:pPr>
        <w:pStyle w:val="Odstavecseseznamem"/>
        <w:keepNext/>
        <w:numPr>
          <w:ilvl w:val="0"/>
          <w:numId w:val="1"/>
        </w:numPr>
        <w:tabs>
          <w:tab w:val="left" w:pos="1260"/>
          <w:tab w:val="left" w:pos="1440"/>
          <w:tab w:val="left" w:pos="5760"/>
        </w:tabs>
        <w:spacing w:before="120"/>
        <w:ind w:left="1077" w:hanging="357"/>
        <w:jc w:val="center"/>
        <w:rPr>
          <w:b/>
        </w:rPr>
      </w:pPr>
      <w:r>
        <w:rPr>
          <w:b/>
        </w:rPr>
        <w:t>Nedůvodně rozdílný přístup</w:t>
      </w:r>
    </w:p>
    <w:p w:rsidR="00AA7B09" w:rsidRDefault="00AA7B09" w:rsidP="00AA7B09">
      <w:pPr>
        <w:keepNext/>
        <w:tabs>
          <w:tab w:val="left" w:pos="1260"/>
          <w:tab w:val="left" w:pos="1440"/>
          <w:tab w:val="left" w:pos="5760"/>
        </w:tabs>
        <w:spacing w:before="120"/>
        <w:jc w:val="both"/>
      </w:pPr>
      <w:r w:rsidRPr="00AA7B09">
        <w:t xml:space="preserve">Ministerstvo </w:t>
      </w:r>
      <w:r>
        <w:t xml:space="preserve">spravedlnosti reguluje odměny i pro jiné podobné profese – například notáře a </w:t>
      </w:r>
      <w:proofErr w:type="spellStart"/>
      <w:r>
        <w:t>insolvenční</w:t>
      </w:r>
      <w:proofErr w:type="spellEnd"/>
      <w:r>
        <w:t xml:space="preserve"> správce. Přesto se zaměřilo jen na změnu odměn jedné profese a nikoliv všech regulovaných odměn právnických profesí. To je samo o sobě důvodem pro zkoumání nedůvodně rozdílného přístupu státu vůči exekutorům na jedné straně a notářům a </w:t>
      </w:r>
      <w:proofErr w:type="spellStart"/>
      <w:r>
        <w:t>insolvenčním</w:t>
      </w:r>
      <w:proofErr w:type="spellEnd"/>
      <w:r>
        <w:t xml:space="preserve"> správcům na druhé straně.</w:t>
      </w:r>
      <w:r w:rsidR="00F648D7">
        <w:t xml:space="preserve"> Takový nedůvodný rozdíl je sám o sobě neústavní, což je podpořeno porovnáním odměn za činnost při řešení pohledávek exekutorů a </w:t>
      </w:r>
      <w:proofErr w:type="spellStart"/>
      <w:r w:rsidR="00F648D7">
        <w:t>insolvenčních</w:t>
      </w:r>
      <w:proofErr w:type="spellEnd"/>
      <w:r w:rsidR="00F648D7">
        <w:t xml:space="preserve"> správců.</w:t>
      </w:r>
      <w:r w:rsidR="008C1817">
        <w:t xml:space="preserve"> Přitom tento zásadní rozdíl </w:t>
      </w:r>
      <w:r w:rsidR="00F07877">
        <w:t>u</w:t>
      </w:r>
      <w:r w:rsidR="008C1817">
        <w:t xml:space="preserve"> malých pohledávek plyne i z materiálu </w:t>
      </w:r>
      <w:r w:rsidR="008C1817" w:rsidRPr="00F45290">
        <w:t>samotného Ministerstva spravedlnosti, který má k dispozici Exekutorská komora.</w:t>
      </w:r>
    </w:p>
    <w:p w:rsidR="008D0AE1" w:rsidRPr="00F45290" w:rsidRDefault="008D0AE1" w:rsidP="008D0AE1">
      <w:pPr>
        <w:pStyle w:val="Odstavecseseznamem"/>
        <w:spacing w:before="120"/>
        <w:ind w:left="0"/>
        <w:contextualSpacing w:val="0"/>
        <w:jc w:val="both"/>
      </w:pPr>
      <w:proofErr w:type="spellStart"/>
      <w:r>
        <w:t>Insolvenční</w:t>
      </w:r>
      <w:proofErr w:type="spellEnd"/>
      <w:r>
        <w:t xml:space="preserve"> s</w:t>
      </w:r>
      <w:r w:rsidRPr="009B0AAB">
        <w:t xml:space="preserve">právce </w:t>
      </w:r>
      <w:r w:rsidR="002961E8">
        <w:t xml:space="preserve">na rozdíl od exekutora </w:t>
      </w:r>
      <w:r w:rsidRPr="009B0AAB">
        <w:t>autoritativně nerozhoduje</w:t>
      </w:r>
      <w:r w:rsidR="002961E8">
        <w:t>. J</w:t>
      </w:r>
      <w:r w:rsidRPr="009B0AAB">
        <w:t xml:space="preserve">en připravuje, vyhodnocuje, předkládá </w:t>
      </w:r>
      <w:r w:rsidR="002961E8">
        <w:t xml:space="preserve">návrhy </w:t>
      </w:r>
      <w:r w:rsidRPr="009B0AAB">
        <w:t>k rozhodnutí</w:t>
      </w:r>
      <w:r>
        <w:t xml:space="preserve">. Tedy jeho odpovědnost je nižší než u exekutora. Přitom </w:t>
      </w:r>
      <w:r w:rsidRPr="009B0AAB">
        <w:t xml:space="preserve">poslední novela </w:t>
      </w:r>
      <w:proofErr w:type="spellStart"/>
      <w:r>
        <w:t>insolvenčního</w:t>
      </w:r>
      <w:proofErr w:type="spellEnd"/>
      <w:r>
        <w:t xml:space="preserve"> zákona č. </w:t>
      </w:r>
      <w:r w:rsidRPr="009B0AAB">
        <w:t>64/2017</w:t>
      </w:r>
      <w:r>
        <w:t xml:space="preserve"> Sb.</w:t>
      </w:r>
      <w:r w:rsidRPr="009B0AAB">
        <w:t xml:space="preserve"> v době snižování odměn exekutorů </w:t>
      </w:r>
      <w:proofErr w:type="spellStart"/>
      <w:r w:rsidRPr="009B0AAB">
        <w:t>insolvenčním</w:t>
      </w:r>
      <w:proofErr w:type="spellEnd"/>
      <w:r w:rsidRPr="009B0AAB">
        <w:t xml:space="preserve"> správcům zav</w:t>
      </w:r>
      <w:r>
        <w:t>edla</w:t>
      </w:r>
      <w:r w:rsidRPr="009B0AAB">
        <w:t xml:space="preserve"> další odměnu, tentokrát odměnu z počtu přezkoumaných přihlášek v oddlužení, v sazbě  25% odměny v konkurzu, tj. 250 Kč za každou přihlášku</w:t>
      </w:r>
      <w:r>
        <w:t>,</w:t>
      </w:r>
      <w:r>
        <w:rPr>
          <w:rStyle w:val="Znakapoznpodarou"/>
        </w:rPr>
        <w:footnoteReference w:id="17"/>
      </w:r>
      <w:r w:rsidRPr="009B0AAB">
        <w:t xml:space="preserve"> </w:t>
      </w:r>
      <w:r>
        <w:t xml:space="preserve">což je </w:t>
      </w:r>
      <w:r w:rsidRPr="009B0AAB">
        <w:t xml:space="preserve">garantovaná částka v řádu několika tisíc za každé „pověření“ bez ohledu na úspěšnost administrovaného řízení. Pak postrádáme potřebu snižovat exekutorům tarif, kdy paralelně se zvyšují odměny </w:t>
      </w:r>
      <w:proofErr w:type="spellStart"/>
      <w:r w:rsidRPr="009B0AAB">
        <w:t>insolvenčním</w:t>
      </w:r>
      <w:proofErr w:type="spellEnd"/>
      <w:r w:rsidRPr="009B0AAB">
        <w:t xml:space="preserve"> správcům zaváděním dalších úkonových odměn. Exekutor nemá odměnu za přezkum exekučního titulu při podání exekučního návrhu</w:t>
      </w:r>
      <w:r w:rsidR="008E761A">
        <w:t xml:space="preserve"> a</w:t>
      </w:r>
      <w:r w:rsidRPr="009B0AAB">
        <w:t xml:space="preserve"> nemá odměny za přezkum přihlášky v</w:t>
      </w:r>
      <w:r w:rsidR="008E761A">
        <w:t> </w:t>
      </w:r>
      <w:r w:rsidRPr="009B0AAB">
        <w:t>dražbě</w:t>
      </w:r>
      <w:r w:rsidR="008E761A">
        <w:t>.</w:t>
      </w:r>
    </w:p>
    <w:p w:rsidR="00F45290" w:rsidRDefault="00F45290" w:rsidP="008D0AE1">
      <w:pPr>
        <w:tabs>
          <w:tab w:val="left" w:pos="1260"/>
          <w:tab w:val="left" w:pos="1440"/>
          <w:tab w:val="left" w:pos="5760"/>
        </w:tabs>
        <w:spacing w:before="120"/>
        <w:jc w:val="both"/>
        <w:rPr>
          <w:color w:val="000000"/>
          <w:shd w:val="clear" w:color="auto" w:fill="FFFFFF"/>
        </w:rPr>
      </w:pPr>
      <w:r w:rsidRPr="00F45290">
        <w:t xml:space="preserve">Rovněž Ústavní soud vyšel z toho, že smysl a </w:t>
      </w:r>
      <w:r>
        <w:t xml:space="preserve">činnost exekutorů a </w:t>
      </w:r>
      <w:proofErr w:type="spellStart"/>
      <w:r>
        <w:t>insol</w:t>
      </w:r>
      <w:r w:rsidRPr="00F45290">
        <w:t>venčních</w:t>
      </w:r>
      <w:proofErr w:type="spellEnd"/>
      <w:r>
        <w:t xml:space="preserve"> </w:t>
      </w:r>
      <w:r w:rsidRPr="00F45290">
        <w:t xml:space="preserve">správců je obdobný, když vyslovil: </w:t>
      </w:r>
      <w:r w:rsidRPr="00F45290">
        <w:rPr>
          <w:i/>
          <w:color w:val="000000"/>
          <w:shd w:val="clear" w:color="auto" w:fill="FFFFFF"/>
        </w:rPr>
        <w:t xml:space="preserve">„… soudní exekutor a </w:t>
      </w:r>
      <w:proofErr w:type="spellStart"/>
      <w:r w:rsidRPr="00F45290">
        <w:rPr>
          <w:i/>
          <w:color w:val="000000"/>
          <w:shd w:val="clear" w:color="auto" w:fill="FFFFFF"/>
        </w:rPr>
        <w:t>insolvenční</w:t>
      </w:r>
      <w:proofErr w:type="spellEnd"/>
      <w:r w:rsidRPr="00F45290">
        <w:rPr>
          <w:i/>
          <w:color w:val="000000"/>
          <w:shd w:val="clear" w:color="auto" w:fill="FFFFFF"/>
        </w:rPr>
        <w:t xml:space="preserve"> správce vykonávají v zásadě obdobnou činnost; cílem obou je zajistit uspokojení přihlášených věřitelů prostřednictvím autoritativního nakládání s majetkem povinného (resp. úpadce), za což jim náleží odměna. Je však zjevně neopodstatněné, aby </w:t>
      </w:r>
      <w:proofErr w:type="spellStart"/>
      <w:r w:rsidRPr="00F45290">
        <w:rPr>
          <w:i/>
          <w:color w:val="000000"/>
          <w:shd w:val="clear" w:color="auto" w:fill="FFFFFF"/>
        </w:rPr>
        <w:t>insolvenční</w:t>
      </w:r>
      <w:proofErr w:type="spellEnd"/>
      <w:r w:rsidRPr="00F45290">
        <w:rPr>
          <w:i/>
          <w:color w:val="000000"/>
          <w:shd w:val="clear" w:color="auto" w:fill="FFFFFF"/>
        </w:rPr>
        <w:t xml:space="preserve"> správce měl za tuto svoji činnost odměnu v podstatě zajištěnu, zatímco exekutor se ocitá ve stavu nepředvídatelnosti a nejistotě, zda se své odměny (a rovněž hotových výdajů, které k uspokojení věřitele vynaložil) kdy dočká, a v jaké výši. Zákonodárce zařadil nárok </w:t>
      </w:r>
      <w:proofErr w:type="spellStart"/>
      <w:r w:rsidRPr="00F45290">
        <w:rPr>
          <w:i/>
          <w:color w:val="000000"/>
          <w:shd w:val="clear" w:color="auto" w:fill="FFFFFF"/>
        </w:rPr>
        <w:t>insolvenčního</w:t>
      </w:r>
      <w:proofErr w:type="spellEnd"/>
      <w:r w:rsidRPr="00F45290">
        <w:rPr>
          <w:i/>
          <w:color w:val="000000"/>
          <w:shd w:val="clear" w:color="auto" w:fill="FFFFFF"/>
        </w:rPr>
        <w:t xml:space="preserve"> správce na odměnu a náhradu nákladů na první místo kategorie pohledávek za majetkovou podstatou [§ 168 odst. 2 písm. a) </w:t>
      </w:r>
      <w:proofErr w:type="spellStart"/>
      <w:r w:rsidRPr="00F45290">
        <w:rPr>
          <w:i/>
          <w:color w:val="000000"/>
          <w:shd w:val="clear" w:color="auto" w:fill="FFFFFF"/>
        </w:rPr>
        <w:t>insolvenčního</w:t>
      </w:r>
      <w:proofErr w:type="spellEnd"/>
      <w:r w:rsidRPr="00F45290">
        <w:rPr>
          <w:i/>
          <w:color w:val="000000"/>
          <w:shd w:val="clear" w:color="auto" w:fill="FFFFFF"/>
        </w:rPr>
        <w:t xml:space="preserve"> zákona], tedy pohledávek, které se uspokojují v plné výši a kdykoliv po rozhodnutí o úpadku. Stejný nárok na odměnu a náhradu nákladů by měl mít i exekutor, který provádí obdobnou činnost. … Ústavní soud neshledává žádný podstatný rozdíl mezi situací, </w:t>
      </w:r>
      <w:r w:rsidRPr="00FF4C48">
        <w:rPr>
          <w:i/>
          <w:color w:val="000000"/>
          <w:shd w:val="clear" w:color="auto" w:fill="FFFFFF"/>
        </w:rPr>
        <w:t xml:space="preserve">kdy je dražen majetek povinného exekutorem a kdy </w:t>
      </w:r>
      <w:proofErr w:type="spellStart"/>
      <w:r w:rsidRPr="00FF4C48">
        <w:rPr>
          <w:i/>
          <w:color w:val="000000"/>
          <w:shd w:val="clear" w:color="auto" w:fill="FFFFFF"/>
        </w:rPr>
        <w:t>insolvenčním</w:t>
      </w:r>
      <w:proofErr w:type="spellEnd"/>
      <w:r w:rsidRPr="00FF4C48">
        <w:rPr>
          <w:i/>
          <w:color w:val="000000"/>
          <w:shd w:val="clear" w:color="auto" w:fill="FFFFFF"/>
        </w:rPr>
        <w:t xml:space="preserve"> správcem,… Závěr, že v situaci, kdy exekutor a </w:t>
      </w:r>
      <w:proofErr w:type="spellStart"/>
      <w:r w:rsidRPr="00FF4C48">
        <w:rPr>
          <w:i/>
          <w:color w:val="000000"/>
          <w:shd w:val="clear" w:color="auto" w:fill="FFFFFF"/>
        </w:rPr>
        <w:t>insolvenční</w:t>
      </w:r>
      <w:proofErr w:type="spellEnd"/>
      <w:r w:rsidRPr="00FF4C48">
        <w:rPr>
          <w:i/>
          <w:color w:val="000000"/>
          <w:shd w:val="clear" w:color="auto" w:fill="FFFFFF"/>
        </w:rPr>
        <w:t xml:space="preserve"> správce činí tentýž úkon, oba jej činí v rámci úřední pravomoci, jeden z nich právo na odměnu zajištěno má a druhý nikoliv, není opodstatněný.“</w:t>
      </w:r>
      <w:r w:rsidRPr="00FF4C48">
        <w:rPr>
          <w:color w:val="000000"/>
          <w:shd w:val="clear" w:color="auto" w:fill="FFFFFF"/>
        </w:rPr>
        <w:t>.</w:t>
      </w:r>
      <w:r w:rsidRPr="00FF4C48">
        <w:rPr>
          <w:rStyle w:val="Znakapoznpodarou"/>
          <w:color w:val="000000"/>
          <w:shd w:val="clear" w:color="auto" w:fill="FFFFFF"/>
        </w:rPr>
        <w:footnoteReference w:id="18"/>
      </w:r>
    </w:p>
    <w:p w:rsidR="00A9514E" w:rsidRDefault="00A9514E" w:rsidP="00A9514E">
      <w:pPr>
        <w:spacing w:before="120"/>
        <w:jc w:val="both"/>
      </w:pPr>
      <w:r w:rsidRPr="004E6D30">
        <w:rPr>
          <w:color w:val="000000"/>
          <w:shd w:val="clear" w:color="auto" w:fill="FFFFFF"/>
        </w:rPr>
        <w:t xml:space="preserve">Navrhovatel se domnívá, že důvodem tohoto odlišeného přístupu může být faktická snaha ministra </w:t>
      </w:r>
      <w:r w:rsidR="001240C0">
        <w:rPr>
          <w:color w:val="000000"/>
          <w:shd w:val="clear" w:color="auto" w:fill="FFFFFF"/>
        </w:rPr>
        <w:t xml:space="preserve">JUDr. Roberta </w:t>
      </w:r>
      <w:r w:rsidRPr="004E6D30">
        <w:rPr>
          <w:color w:val="000000"/>
          <w:shd w:val="clear" w:color="auto" w:fill="FFFFFF"/>
        </w:rPr>
        <w:t>Pelikána</w:t>
      </w:r>
      <w:r w:rsidR="001240C0">
        <w:rPr>
          <w:color w:val="000000"/>
          <w:shd w:val="clear" w:color="auto" w:fill="FFFFFF"/>
        </w:rPr>
        <w:t xml:space="preserve">, </w:t>
      </w:r>
      <w:proofErr w:type="spellStart"/>
      <w:r w:rsidR="001240C0">
        <w:rPr>
          <w:color w:val="000000"/>
          <w:shd w:val="clear" w:color="auto" w:fill="FFFFFF"/>
        </w:rPr>
        <w:t>Ph.D</w:t>
      </w:r>
      <w:proofErr w:type="spellEnd"/>
      <w:r w:rsidR="001240C0">
        <w:rPr>
          <w:color w:val="000000"/>
          <w:shd w:val="clear" w:color="auto" w:fill="FFFFFF"/>
        </w:rPr>
        <w:t>.</w:t>
      </w:r>
      <w:r w:rsidRPr="004E6D30">
        <w:rPr>
          <w:color w:val="000000"/>
          <w:shd w:val="clear" w:color="auto" w:fill="FFFFFF"/>
        </w:rPr>
        <w:t xml:space="preserve"> po snížení počtu exekutorů formou ekonomického vyhladovění. Ministr prohlásil: </w:t>
      </w:r>
      <w:r w:rsidRPr="004E6D30">
        <w:rPr>
          <w:i/>
          <w:color w:val="000000"/>
          <w:shd w:val="clear" w:color="auto" w:fill="FFFFFF"/>
        </w:rPr>
        <w:t xml:space="preserve">„Dovedu si představit, že některé úřady zaniknou. Obavy z toho nemám, spíše naopak - některé úřady jsou nefunkční. Pokles až o polovinu by nebyl </w:t>
      </w:r>
      <w:r w:rsidRPr="004E6D30">
        <w:rPr>
          <w:i/>
          <w:color w:val="000000"/>
          <w:shd w:val="clear" w:color="auto" w:fill="FFFFFF"/>
        </w:rPr>
        <w:lastRenderedPageBreak/>
        <w:t>problém.“</w:t>
      </w:r>
      <w:r w:rsidRPr="004E6D30">
        <w:rPr>
          <w:rStyle w:val="Znakapoznpodarou"/>
          <w:i/>
          <w:color w:val="000000"/>
          <w:shd w:val="clear" w:color="auto" w:fill="FFFFFF"/>
        </w:rPr>
        <w:footnoteReference w:id="19"/>
      </w:r>
      <w:r w:rsidRPr="004E6D30">
        <w:rPr>
          <w:color w:val="000000"/>
          <w:shd w:val="clear" w:color="auto" w:fill="FFFFFF"/>
        </w:rPr>
        <w:t xml:space="preserve"> Ministr též prohlásil:</w:t>
      </w:r>
      <w:r w:rsidRPr="004E6D30">
        <w:t xml:space="preserve"> </w:t>
      </w:r>
      <w:r w:rsidRPr="004E6D30">
        <w:rPr>
          <w:i/>
        </w:rPr>
        <w:t xml:space="preserve">"Počítáme spíš s redukcí úřadů. Když se některý z úřadů uvolní </w:t>
      </w:r>
      <w:r w:rsidRPr="00805302">
        <w:rPr>
          <w:i/>
          <w:color w:val="000000" w:themeColor="text1"/>
        </w:rPr>
        <w:t>a nebude jediný v daném okrese, tak ho budeme rušit."</w:t>
      </w:r>
      <w:r w:rsidRPr="00805302">
        <w:rPr>
          <w:color w:val="000000" w:themeColor="text1"/>
        </w:rPr>
        <w:t>.</w:t>
      </w:r>
      <w:r w:rsidRPr="00805302">
        <w:rPr>
          <w:rStyle w:val="Znakapoznpodarou"/>
          <w:color w:val="000000" w:themeColor="text1"/>
        </w:rPr>
        <w:footnoteReference w:id="20"/>
      </w:r>
      <w:r w:rsidRPr="00805302">
        <w:rPr>
          <w:color w:val="000000" w:themeColor="text1"/>
        </w:rPr>
        <w:t xml:space="preserve"> Ministr se tak několikrát veřejně přiznal k tomu, že v rozporu s článkem 9 odst. 1 a článkem 26 Listiny základních práv a svobod reguluje v rozporu s ústavním pořádkem výkon konkrétního povolání ministerskou vyhláškou, ačkoliv tak může být učiněno pouze zákonem. </w:t>
      </w:r>
      <w:r w:rsidRPr="004E6D30">
        <w:t>Ovšem ke snižování počtu exekutorů stát nemůže zneužít právní předpis řešící obecně odměňování exekutorů, neboť by byl vydán v rozporu se zákonem, k jehož provedení měl být vydán, což překračuje ústavně vymezenou legislativní pravomoc ministerstva zakotvenou v čl. 79 odst. 3 Ústavy.</w:t>
      </w:r>
      <w:r>
        <w:t xml:space="preserve"> </w:t>
      </w:r>
    </w:p>
    <w:p w:rsidR="00AA7B09" w:rsidRPr="00FF4C48" w:rsidRDefault="00F648D7" w:rsidP="00FF4C48">
      <w:pPr>
        <w:keepNext/>
        <w:tabs>
          <w:tab w:val="left" w:pos="1260"/>
          <w:tab w:val="left" w:pos="1440"/>
          <w:tab w:val="left" w:pos="5760"/>
        </w:tabs>
        <w:spacing w:before="120"/>
      </w:pPr>
      <w:r w:rsidRPr="00FF4C48">
        <w:rPr>
          <w:b/>
        </w:rPr>
        <w:t>Důkaz:</w:t>
      </w:r>
      <w:r w:rsidR="008C1817" w:rsidRPr="00FF4C48">
        <w:rPr>
          <w:b/>
        </w:rPr>
        <w:tab/>
      </w:r>
      <w:r w:rsidR="008C1817" w:rsidRPr="00FF4C48">
        <w:t>1</w:t>
      </w:r>
      <w:r w:rsidR="008C1817" w:rsidRPr="00FF4C48">
        <w:rPr>
          <w:b/>
        </w:rPr>
        <w:t xml:space="preserve">. </w:t>
      </w:r>
      <w:r w:rsidR="00AA7B09" w:rsidRPr="00FF4C48">
        <w:t xml:space="preserve">Srovnání odměňování soudních exekutorů a </w:t>
      </w:r>
      <w:proofErr w:type="spellStart"/>
      <w:r w:rsidR="00AA7B09" w:rsidRPr="00FF4C48">
        <w:t>insolven</w:t>
      </w:r>
      <w:r w:rsidRPr="00FF4C48">
        <w:t>č</w:t>
      </w:r>
      <w:r w:rsidR="00AA7B09" w:rsidRPr="00FF4C48">
        <w:t>ních</w:t>
      </w:r>
      <w:proofErr w:type="spellEnd"/>
      <w:r w:rsidR="00AA7B09" w:rsidRPr="00FF4C48">
        <w:t xml:space="preserve"> správců</w:t>
      </w:r>
      <w:r w:rsidR="008C1817" w:rsidRPr="00FF4C48">
        <w:t xml:space="preserve"> – tabulka.</w:t>
      </w:r>
    </w:p>
    <w:p w:rsidR="008C1817" w:rsidRPr="008C1817" w:rsidRDefault="008C1817" w:rsidP="008C1817">
      <w:pPr>
        <w:keepNext/>
        <w:tabs>
          <w:tab w:val="left" w:pos="1260"/>
          <w:tab w:val="left" w:pos="1440"/>
          <w:tab w:val="left" w:pos="5760"/>
        </w:tabs>
        <w:ind w:left="1077"/>
      </w:pPr>
      <w:r w:rsidRPr="00FF4C48">
        <w:tab/>
        <w:t>2. K (ne)možnosti srovnávání nastavení výše odměn a náhrad hotových výdajů</w:t>
      </w:r>
      <w:r w:rsidRPr="008C1817">
        <w:t xml:space="preserve"> soudních exekutorů a </w:t>
      </w:r>
      <w:proofErr w:type="spellStart"/>
      <w:r w:rsidRPr="008C1817">
        <w:t>insolvenčních</w:t>
      </w:r>
      <w:proofErr w:type="spellEnd"/>
      <w:r w:rsidRPr="008C1817">
        <w:t xml:space="preserve"> správců – materiál Ministerstva spravedlnosti.</w:t>
      </w:r>
    </w:p>
    <w:p w:rsidR="00AA7B09" w:rsidRPr="00AA7B09" w:rsidRDefault="00AA7B09" w:rsidP="00AA7B09">
      <w:pPr>
        <w:keepNext/>
        <w:tabs>
          <w:tab w:val="left" w:pos="1260"/>
          <w:tab w:val="left" w:pos="1440"/>
          <w:tab w:val="left" w:pos="5760"/>
        </w:tabs>
        <w:spacing w:before="120"/>
        <w:rPr>
          <w:b/>
        </w:rPr>
      </w:pPr>
    </w:p>
    <w:p w:rsidR="0004748E" w:rsidRDefault="0004748E" w:rsidP="00BF2A57">
      <w:pPr>
        <w:pStyle w:val="Odstavecseseznamem"/>
        <w:keepNext/>
        <w:numPr>
          <w:ilvl w:val="0"/>
          <w:numId w:val="1"/>
        </w:numPr>
        <w:tabs>
          <w:tab w:val="left" w:pos="1260"/>
          <w:tab w:val="left" w:pos="1440"/>
          <w:tab w:val="left" w:pos="5760"/>
        </w:tabs>
        <w:spacing w:before="120"/>
        <w:ind w:left="1077" w:hanging="357"/>
        <w:jc w:val="center"/>
        <w:rPr>
          <w:b/>
        </w:rPr>
      </w:pPr>
      <w:r>
        <w:rPr>
          <w:b/>
        </w:rPr>
        <w:t>Obecné námitky</w:t>
      </w:r>
    </w:p>
    <w:p w:rsidR="0004748E" w:rsidRPr="00002941" w:rsidRDefault="0004748E" w:rsidP="0004748E">
      <w:pPr>
        <w:pStyle w:val="Odstavecseseznamem"/>
        <w:spacing w:before="120"/>
        <w:ind w:left="0"/>
        <w:contextualSpacing w:val="0"/>
        <w:jc w:val="both"/>
      </w:pPr>
      <w:r w:rsidRPr="00002941">
        <w:t xml:space="preserve">Přístup ministra </w:t>
      </w:r>
      <w:r w:rsidR="001240C0">
        <w:t xml:space="preserve">JUDr. Roberta </w:t>
      </w:r>
      <w:r w:rsidRPr="00002941">
        <w:t>Pelikána</w:t>
      </w:r>
      <w:r w:rsidR="001240C0">
        <w:t xml:space="preserve">, </w:t>
      </w:r>
      <w:proofErr w:type="spellStart"/>
      <w:r w:rsidR="001240C0">
        <w:t>Ph.D</w:t>
      </w:r>
      <w:proofErr w:type="spellEnd"/>
      <w:r w:rsidR="001240C0">
        <w:t>.</w:t>
      </w:r>
      <w:r w:rsidRPr="00002941">
        <w:t xml:space="preserve">, v jehož důsledku byla přijata napadená část právního předpisu, je </w:t>
      </w:r>
      <w:r>
        <w:t xml:space="preserve">obecně </w:t>
      </w:r>
      <w:r w:rsidRPr="00002941">
        <w:t>nebezpečný, neboť vede k těmto rizikům:</w:t>
      </w:r>
    </w:p>
    <w:p w:rsidR="0004748E" w:rsidRPr="00002941" w:rsidRDefault="0004748E" w:rsidP="00BF2A57">
      <w:pPr>
        <w:pStyle w:val="Odstavecseseznamem"/>
        <w:numPr>
          <w:ilvl w:val="0"/>
          <w:numId w:val="7"/>
        </w:numPr>
        <w:ind w:left="0" w:firstLine="0"/>
        <w:contextualSpacing w:val="0"/>
        <w:jc w:val="both"/>
      </w:pPr>
      <w:r w:rsidRPr="00002941">
        <w:rPr>
          <w:bCs/>
        </w:rPr>
        <w:t>riziko spočívající ve změnách na trhu exekučních služeb, ať se již jedná o případné změny kvantitativní (s</w:t>
      </w:r>
      <w:r w:rsidRPr="00002941">
        <w:t>nížení počtu exekutorských úřadů v důsledku opuštění „trhu“)</w:t>
      </w:r>
      <w:r w:rsidRPr="00002941">
        <w:rPr>
          <w:bCs/>
        </w:rPr>
        <w:t xml:space="preserve"> či kvalitativní (</w:t>
      </w:r>
      <w:r w:rsidRPr="00002941">
        <w:t>snížení kvality nezbytných činností, eliminace zbytných činností v důsledku adaptace na snížení příjmů),</w:t>
      </w:r>
    </w:p>
    <w:p w:rsidR="0004748E" w:rsidRPr="00002941" w:rsidRDefault="0004748E" w:rsidP="00BF2A57">
      <w:pPr>
        <w:pStyle w:val="Odstavecseseznamem"/>
        <w:numPr>
          <w:ilvl w:val="0"/>
          <w:numId w:val="8"/>
        </w:numPr>
        <w:ind w:left="0" w:firstLine="0"/>
        <w:contextualSpacing w:val="0"/>
        <w:jc w:val="both"/>
      </w:pPr>
      <w:r w:rsidRPr="00002941">
        <w:t>negativní ovlivnění hospodaření podnikatelské veřejnosti, snížení vymahatelnosti práva zejména dopadne na malé a střední podniky (druhotná platební neschopnost)</w:t>
      </w:r>
      <w:r>
        <w:t xml:space="preserve"> a </w:t>
      </w:r>
      <w:r w:rsidRPr="002F0C8B">
        <w:t xml:space="preserve">„potřebné“ věřitele </w:t>
      </w:r>
      <w:r>
        <w:t xml:space="preserve">(poškozené z trestných činů, </w:t>
      </w:r>
      <w:r w:rsidRPr="002F0C8B">
        <w:t>vyživované</w:t>
      </w:r>
      <w:r w:rsidRPr="00002941">
        <w:t xml:space="preserve"> osoby)</w:t>
      </w:r>
      <w:r>
        <w:t>,</w:t>
      </w:r>
    </w:p>
    <w:p w:rsidR="0004748E" w:rsidRPr="00002941" w:rsidRDefault="0004748E" w:rsidP="00BF2A57">
      <w:pPr>
        <w:pStyle w:val="Odstavecseseznamem"/>
        <w:numPr>
          <w:ilvl w:val="0"/>
          <w:numId w:val="7"/>
        </w:numPr>
        <w:ind w:left="0" w:firstLine="0"/>
        <w:contextualSpacing w:val="0"/>
        <w:jc w:val="both"/>
      </w:pPr>
      <w:r w:rsidRPr="00002941">
        <w:t>v důsledku možného úpadku některých soudních exekutorů i v důsledku neúpadkového ukončení činnosti soudních exekutorů dojde ke vzniku nemalých transakčních nákladů na straně věřitelů (návrhy na změnu exekutora, analýzy nevymoženého plnění, přihlašování pohledávek atp.),</w:t>
      </w:r>
    </w:p>
    <w:p w:rsidR="0004748E" w:rsidRPr="00002941" w:rsidRDefault="0004748E" w:rsidP="00BF2A57">
      <w:pPr>
        <w:pStyle w:val="Odstavecseseznamem"/>
        <w:numPr>
          <w:ilvl w:val="0"/>
          <w:numId w:val="7"/>
        </w:numPr>
        <w:ind w:left="0" w:firstLine="0"/>
        <w:contextualSpacing w:val="0"/>
        <w:jc w:val="both"/>
      </w:pPr>
      <w:r w:rsidRPr="00002941">
        <w:t>v důsledku snížení vymahatelnosti práva bude ohrožena „</w:t>
      </w:r>
      <w:proofErr w:type="spellStart"/>
      <w:r w:rsidRPr="00002941">
        <w:t>kredibilita</w:t>
      </w:r>
      <w:proofErr w:type="spellEnd"/>
      <w:r w:rsidRPr="00002941">
        <w:t>“ v zahraničí (ohrožení pozice ČR u zahraničních investorů),</w:t>
      </w:r>
    </w:p>
    <w:p w:rsidR="0004748E" w:rsidRPr="00002941" w:rsidRDefault="0004748E" w:rsidP="00BF2A57">
      <w:pPr>
        <w:pStyle w:val="Odstavecseseznamem"/>
        <w:numPr>
          <w:ilvl w:val="0"/>
          <w:numId w:val="7"/>
        </w:numPr>
        <w:ind w:left="0" w:firstLine="0"/>
        <w:contextualSpacing w:val="0"/>
        <w:jc w:val="both"/>
      </w:pPr>
      <w:r w:rsidRPr="00002941">
        <w:t>dojde ke zvýšení průměrné splatnosti pohledávek věřitele (tj. dojde k prodloužení tzv. peněžního cyklu), které bude muset věřitel sanovat např. poklesem obratu zásob či krátkodobým úvěrovým financováním,</w:t>
      </w:r>
    </w:p>
    <w:p w:rsidR="0004748E" w:rsidRPr="00002941" w:rsidRDefault="0004748E" w:rsidP="00BF2A57">
      <w:pPr>
        <w:pStyle w:val="Odstavecseseznamem"/>
        <w:numPr>
          <w:ilvl w:val="0"/>
          <w:numId w:val="7"/>
        </w:numPr>
        <w:ind w:left="0" w:firstLine="0"/>
        <w:contextualSpacing w:val="0"/>
        <w:jc w:val="both"/>
      </w:pPr>
      <w:r w:rsidRPr="00002941">
        <w:t>zvýšení nákladů na administraci pohledávek v důsledku prodloužení peněžního cyklu</w:t>
      </w:r>
      <w:r>
        <w:t>,</w:t>
      </w:r>
      <w:r w:rsidRPr="00002941">
        <w:t xml:space="preserve"> vč</w:t>
      </w:r>
      <w:r>
        <w:t>etně</w:t>
      </w:r>
      <w:r w:rsidRPr="00002941">
        <w:t xml:space="preserve"> nákladů na monitoring)</w:t>
      </w:r>
      <w:r>
        <w:t>.</w:t>
      </w:r>
    </w:p>
    <w:p w:rsidR="0004748E" w:rsidRPr="0004748E" w:rsidRDefault="0004748E" w:rsidP="0004748E">
      <w:pPr>
        <w:pStyle w:val="Odstavecseseznamem"/>
        <w:keepNext/>
        <w:tabs>
          <w:tab w:val="left" w:pos="1260"/>
          <w:tab w:val="left" w:pos="1440"/>
          <w:tab w:val="left" w:pos="5760"/>
        </w:tabs>
        <w:spacing w:before="120"/>
        <w:ind w:left="1077"/>
        <w:jc w:val="center"/>
        <w:rPr>
          <w:b/>
        </w:rPr>
      </w:pPr>
    </w:p>
    <w:p w:rsidR="00E46CD6" w:rsidRPr="00E46CD6" w:rsidRDefault="00E46CD6" w:rsidP="00BF2A57">
      <w:pPr>
        <w:pStyle w:val="Odstavecseseznamem"/>
        <w:keepNext/>
        <w:numPr>
          <w:ilvl w:val="0"/>
          <w:numId w:val="1"/>
        </w:numPr>
        <w:tabs>
          <w:tab w:val="left" w:pos="1260"/>
          <w:tab w:val="left" w:pos="1440"/>
          <w:tab w:val="left" w:pos="5760"/>
        </w:tabs>
        <w:spacing w:before="120"/>
        <w:ind w:left="1077" w:hanging="357"/>
        <w:jc w:val="center"/>
        <w:rPr>
          <w:b/>
        </w:rPr>
      </w:pPr>
      <w:r w:rsidRPr="00E46CD6">
        <w:rPr>
          <w:b/>
        </w:rPr>
        <w:t>Časové účinky zrušovacího nálezu</w:t>
      </w:r>
    </w:p>
    <w:p w:rsidR="000A2A3D" w:rsidRDefault="00172C24" w:rsidP="00F67CDC">
      <w:pPr>
        <w:tabs>
          <w:tab w:val="left" w:pos="1260"/>
          <w:tab w:val="left" w:pos="1440"/>
          <w:tab w:val="left" w:pos="5760"/>
        </w:tabs>
        <w:spacing w:before="120"/>
        <w:jc w:val="both"/>
      </w:pPr>
      <w:r>
        <w:t>Z</w:t>
      </w:r>
      <w:r w:rsidR="004A0205">
        <w:t xml:space="preserve">rušením napadených částek odměny exekutora se stanou napadená ustanovení § 6 odst. 3 a § 11 odst. 2 vyhlášky nepoužitelná. </w:t>
      </w:r>
      <w:r w:rsidR="005C093C">
        <w:t>Proto je na úvaze Ústavního soudu, zda neodloží vykonatelnost zrušovacího nálezu pro přijetí nové úpravy ministerstvem. Protože jde však jen o vyhlášku, která nepodléhá schválení v Parlamentu, a zároveň mají napadená ustanovení nepříznivý dopad na exekuční činnost, neměl by případný odklad být delší než 3 měsíce od vyhlášení.</w:t>
      </w:r>
      <w:r w:rsidR="00C919D8">
        <w:t xml:space="preserve"> Toto se však netýká ustanovení § 13 vyhlášky, které je pouze speciálním ustanovením a bude-li zrušeno</w:t>
      </w:r>
      <w:r w:rsidR="00F07877">
        <w:t>,</w:t>
      </w:r>
      <w:r w:rsidR="00C919D8">
        <w:t xml:space="preserve"> je aplikovatelná obecná úprava.</w:t>
      </w:r>
    </w:p>
    <w:p w:rsidR="00262005" w:rsidRDefault="00262005" w:rsidP="00F67CDC">
      <w:pPr>
        <w:tabs>
          <w:tab w:val="left" w:pos="1260"/>
          <w:tab w:val="left" w:pos="1440"/>
          <w:tab w:val="left" w:pos="5760"/>
        </w:tabs>
        <w:spacing w:before="120"/>
        <w:jc w:val="both"/>
      </w:pPr>
      <w:r>
        <w:lastRenderedPageBreak/>
        <w:t>Ústavní soud již v minulosti několikrát užil i možnost, že stanoví, že při zrušení novelizovaného ustanoven</w:t>
      </w:r>
      <w:r w:rsidR="004D2920">
        <w:t>í obživně původní právní úprava, ale jindy tvrdil opak.</w:t>
      </w:r>
      <w:r w:rsidR="001927DC" w:rsidRPr="001927DC">
        <w:t xml:space="preserve"> Obživnutí zrušeného právního předpisu je možné, pokud to ústava či zákon výslovně stanoví, což v právním řádu platném na území Čech, Moravy a Slezska není. Zrušující účinky nálezu Ústavního soudu jsou jen do budoucna, ne minula, jinak by šlo o neústavní retroaktivitu. Ústavní soud není pozitivním zákonodárcem a obživnutí právního předpisu je již samo o sobě tvorbou práva.</w:t>
      </w:r>
      <w:r w:rsidR="001927DC">
        <w:t xml:space="preserve"> Proto se možnost nápravy dané situace formou zrušení vadného ustanovení právního předpisu s odložením vykonatelnosti, aby tvůrce práva měl čas na nápravu stavu, jeví jako správnější.</w:t>
      </w:r>
      <w:r w:rsidR="001927DC">
        <w:rPr>
          <w:rStyle w:val="Znakapoznpodarou"/>
        </w:rPr>
        <w:footnoteReference w:id="21"/>
      </w:r>
    </w:p>
    <w:p w:rsidR="004D2920" w:rsidRDefault="004D2920" w:rsidP="00F67CDC">
      <w:pPr>
        <w:tabs>
          <w:tab w:val="left" w:pos="1260"/>
          <w:tab w:val="left" w:pos="1440"/>
          <w:tab w:val="left" w:pos="5760"/>
        </w:tabs>
        <w:spacing w:before="120"/>
        <w:jc w:val="both"/>
      </w:pPr>
    </w:p>
    <w:p w:rsidR="004D2920" w:rsidRPr="00FA7E7A" w:rsidRDefault="004D2920" w:rsidP="00BF2A57">
      <w:pPr>
        <w:pStyle w:val="Odstavecseseznamem"/>
        <w:keepNext/>
        <w:numPr>
          <w:ilvl w:val="1"/>
          <w:numId w:val="1"/>
        </w:numPr>
        <w:spacing w:before="120"/>
        <w:ind w:left="1077" w:hanging="357"/>
        <w:jc w:val="both"/>
        <w:rPr>
          <w:b/>
        </w:rPr>
      </w:pPr>
      <w:r w:rsidRPr="004D2920">
        <w:rPr>
          <w:b/>
        </w:rPr>
        <w:t>Příklady nejednotné praxe</w:t>
      </w:r>
    </w:p>
    <w:p w:rsidR="004D2920" w:rsidRPr="00E44FD3" w:rsidRDefault="004D2920" w:rsidP="00BF2A57">
      <w:pPr>
        <w:pStyle w:val="Odstavecseseznamem"/>
        <w:numPr>
          <w:ilvl w:val="2"/>
          <w:numId w:val="1"/>
        </w:numPr>
        <w:spacing w:before="120"/>
        <w:rPr>
          <w:b/>
        </w:rPr>
      </w:pPr>
      <w:r w:rsidRPr="004D2920">
        <w:rPr>
          <w:b/>
        </w:rPr>
        <w:t>Transformace práva trvalého užívání pozemku na vlastnictví a rozhodování o přeřazení vězně ve věznici dle trestního řádu</w:t>
      </w:r>
    </w:p>
    <w:p w:rsidR="004D2920" w:rsidRPr="007D6832" w:rsidRDefault="004D2920" w:rsidP="004D2920">
      <w:pPr>
        <w:pStyle w:val="Zkladntextodsazen"/>
        <w:spacing w:before="120" w:line="240" w:lineRule="auto"/>
        <w:ind w:firstLine="0"/>
        <w:rPr>
          <w:i/>
          <w:iCs/>
          <w:sz w:val="24"/>
        </w:rPr>
      </w:pPr>
      <w:r w:rsidRPr="007D6832">
        <w:rPr>
          <w:sz w:val="24"/>
          <w:lang w:val="cs-CZ"/>
        </w:rPr>
        <w:t>Ústavní soud v</w:t>
      </w:r>
      <w:r w:rsidRPr="007D6832">
        <w:rPr>
          <w:sz w:val="24"/>
        </w:rPr>
        <w:t xml:space="preserve"> nálezu č. 35/2004 </w:t>
      </w:r>
      <w:proofErr w:type="spellStart"/>
      <w:r w:rsidRPr="007D6832">
        <w:rPr>
          <w:sz w:val="24"/>
        </w:rPr>
        <w:t>Sbírky</w:t>
      </w:r>
      <w:proofErr w:type="spellEnd"/>
      <w:r w:rsidRPr="007D6832">
        <w:rPr>
          <w:sz w:val="24"/>
        </w:rPr>
        <w:t xml:space="preserve"> </w:t>
      </w:r>
      <w:proofErr w:type="spellStart"/>
      <w:r w:rsidRPr="007D6832">
        <w:rPr>
          <w:sz w:val="24"/>
        </w:rPr>
        <w:t>nálezů</w:t>
      </w:r>
      <w:proofErr w:type="spellEnd"/>
      <w:r w:rsidRPr="007D6832">
        <w:rPr>
          <w:sz w:val="24"/>
        </w:rPr>
        <w:t xml:space="preserve"> a </w:t>
      </w:r>
      <w:proofErr w:type="spellStart"/>
      <w:r w:rsidRPr="007D6832">
        <w:rPr>
          <w:sz w:val="24"/>
        </w:rPr>
        <w:t>usnesení</w:t>
      </w:r>
      <w:proofErr w:type="spellEnd"/>
      <w:r w:rsidRPr="007D6832">
        <w:rPr>
          <w:sz w:val="24"/>
        </w:rPr>
        <w:t xml:space="preserve"> </w:t>
      </w:r>
      <w:proofErr w:type="spellStart"/>
      <w:r w:rsidRPr="007D6832">
        <w:rPr>
          <w:sz w:val="24"/>
        </w:rPr>
        <w:t>Ústavního</w:t>
      </w:r>
      <w:proofErr w:type="spellEnd"/>
      <w:r w:rsidRPr="007D6832">
        <w:rPr>
          <w:sz w:val="24"/>
        </w:rPr>
        <w:t xml:space="preserve"> </w:t>
      </w:r>
      <w:proofErr w:type="spellStart"/>
      <w:r w:rsidRPr="007D6832">
        <w:rPr>
          <w:sz w:val="24"/>
        </w:rPr>
        <w:t>soudu</w:t>
      </w:r>
      <w:proofErr w:type="spellEnd"/>
      <w:r w:rsidRPr="007D6832">
        <w:rPr>
          <w:sz w:val="24"/>
        </w:rPr>
        <w:t xml:space="preserve"> (278/2004 </w:t>
      </w:r>
      <w:proofErr w:type="spellStart"/>
      <w:r w:rsidRPr="007D6832">
        <w:rPr>
          <w:sz w:val="24"/>
        </w:rPr>
        <w:t>Sb</w:t>
      </w:r>
      <w:proofErr w:type="spellEnd"/>
      <w:r w:rsidRPr="007D6832">
        <w:rPr>
          <w:sz w:val="24"/>
        </w:rPr>
        <w:t xml:space="preserve">., </w:t>
      </w:r>
      <w:proofErr w:type="spellStart"/>
      <w:r w:rsidRPr="007D6832">
        <w:rPr>
          <w:sz w:val="24"/>
        </w:rPr>
        <w:t>Pl</w:t>
      </w:r>
      <w:proofErr w:type="spellEnd"/>
      <w:r w:rsidRPr="007D6832">
        <w:rPr>
          <w:sz w:val="24"/>
        </w:rPr>
        <w:t xml:space="preserve">. ÚS 2/02) </w:t>
      </w:r>
      <w:proofErr w:type="spellStart"/>
      <w:r w:rsidRPr="007D6832">
        <w:rPr>
          <w:sz w:val="24"/>
        </w:rPr>
        <w:t>uvedl</w:t>
      </w:r>
      <w:proofErr w:type="spellEnd"/>
      <w:r w:rsidRPr="007D6832">
        <w:rPr>
          <w:sz w:val="24"/>
        </w:rPr>
        <w:t>: “</w:t>
      </w:r>
      <w:r w:rsidRPr="007D6832">
        <w:rPr>
          <w:i/>
          <w:iCs/>
          <w:sz w:val="24"/>
        </w:rPr>
        <w:t>V </w:t>
      </w:r>
      <w:proofErr w:type="spellStart"/>
      <w:r w:rsidRPr="007D6832">
        <w:rPr>
          <w:i/>
          <w:iCs/>
          <w:sz w:val="24"/>
        </w:rPr>
        <w:t>řízení</w:t>
      </w:r>
      <w:proofErr w:type="spellEnd"/>
      <w:r w:rsidRPr="007D6832">
        <w:rPr>
          <w:i/>
          <w:iCs/>
          <w:sz w:val="24"/>
        </w:rPr>
        <w:t xml:space="preserve"> o kontrole </w:t>
      </w:r>
      <w:proofErr w:type="spellStart"/>
      <w:r w:rsidRPr="007D6832">
        <w:rPr>
          <w:i/>
          <w:iCs/>
          <w:sz w:val="24"/>
        </w:rPr>
        <w:t>norem</w:t>
      </w:r>
      <w:proofErr w:type="spellEnd"/>
      <w:r w:rsidRPr="007D6832">
        <w:rPr>
          <w:i/>
          <w:iCs/>
          <w:sz w:val="24"/>
        </w:rPr>
        <w:t xml:space="preserve"> vystupuje Ústavní </w:t>
      </w:r>
      <w:proofErr w:type="spellStart"/>
      <w:r w:rsidRPr="007D6832">
        <w:rPr>
          <w:i/>
          <w:iCs/>
          <w:sz w:val="24"/>
        </w:rPr>
        <w:t>soud</w:t>
      </w:r>
      <w:proofErr w:type="spellEnd"/>
      <w:r w:rsidRPr="007D6832">
        <w:rPr>
          <w:i/>
          <w:iCs/>
          <w:sz w:val="24"/>
        </w:rPr>
        <w:t xml:space="preserve"> </w:t>
      </w:r>
      <w:proofErr w:type="spellStart"/>
      <w:r w:rsidRPr="007D6832">
        <w:rPr>
          <w:i/>
          <w:iCs/>
          <w:sz w:val="24"/>
        </w:rPr>
        <w:t>jako</w:t>
      </w:r>
      <w:proofErr w:type="spellEnd"/>
      <w:r w:rsidRPr="007D6832">
        <w:rPr>
          <w:i/>
          <w:iCs/>
          <w:sz w:val="24"/>
        </w:rPr>
        <w:t xml:space="preserve"> tzv. </w:t>
      </w:r>
      <w:proofErr w:type="spellStart"/>
      <w:r w:rsidRPr="007D6832">
        <w:rPr>
          <w:i/>
          <w:iCs/>
          <w:sz w:val="24"/>
        </w:rPr>
        <w:t>negativní</w:t>
      </w:r>
      <w:proofErr w:type="spellEnd"/>
      <w:r w:rsidRPr="007D6832">
        <w:rPr>
          <w:i/>
          <w:iCs/>
          <w:sz w:val="24"/>
        </w:rPr>
        <w:t xml:space="preserve"> </w:t>
      </w:r>
      <w:proofErr w:type="spellStart"/>
      <w:r w:rsidRPr="007D6832">
        <w:rPr>
          <w:i/>
          <w:iCs/>
          <w:sz w:val="24"/>
        </w:rPr>
        <w:t>zákonodárce</w:t>
      </w:r>
      <w:proofErr w:type="spellEnd"/>
      <w:r w:rsidRPr="007D6832">
        <w:rPr>
          <w:i/>
          <w:iCs/>
          <w:sz w:val="24"/>
        </w:rPr>
        <w:t xml:space="preserve">, </w:t>
      </w:r>
      <w:proofErr w:type="spellStart"/>
      <w:r w:rsidRPr="007D6832">
        <w:rPr>
          <w:i/>
          <w:iCs/>
          <w:sz w:val="24"/>
        </w:rPr>
        <w:t>oprávněný</w:t>
      </w:r>
      <w:proofErr w:type="spellEnd"/>
      <w:r w:rsidRPr="007D6832">
        <w:rPr>
          <w:i/>
          <w:iCs/>
          <w:sz w:val="24"/>
        </w:rPr>
        <w:t xml:space="preserve"> v </w:t>
      </w:r>
      <w:proofErr w:type="spellStart"/>
      <w:r w:rsidRPr="007D6832">
        <w:rPr>
          <w:i/>
          <w:iCs/>
          <w:sz w:val="24"/>
        </w:rPr>
        <w:t>případě</w:t>
      </w:r>
      <w:proofErr w:type="spellEnd"/>
      <w:r w:rsidRPr="007D6832">
        <w:rPr>
          <w:i/>
          <w:iCs/>
          <w:sz w:val="24"/>
        </w:rPr>
        <w:t xml:space="preserve"> </w:t>
      </w:r>
      <w:proofErr w:type="spellStart"/>
      <w:r w:rsidRPr="007D6832">
        <w:rPr>
          <w:i/>
          <w:iCs/>
          <w:sz w:val="24"/>
        </w:rPr>
        <w:t>vyhovění</w:t>
      </w:r>
      <w:proofErr w:type="spellEnd"/>
      <w:r w:rsidRPr="007D6832">
        <w:rPr>
          <w:i/>
          <w:iCs/>
          <w:sz w:val="24"/>
        </w:rPr>
        <w:t xml:space="preserve"> návrhu </w:t>
      </w:r>
      <w:proofErr w:type="spellStart"/>
      <w:r w:rsidRPr="007D6832">
        <w:rPr>
          <w:i/>
          <w:iCs/>
          <w:sz w:val="24"/>
        </w:rPr>
        <w:t>napadený</w:t>
      </w:r>
      <w:proofErr w:type="spellEnd"/>
      <w:r w:rsidRPr="007D6832">
        <w:rPr>
          <w:i/>
          <w:iCs/>
          <w:sz w:val="24"/>
        </w:rPr>
        <w:t xml:space="preserve"> </w:t>
      </w:r>
      <w:proofErr w:type="spellStart"/>
      <w:r w:rsidRPr="007D6832">
        <w:rPr>
          <w:i/>
          <w:iCs/>
          <w:sz w:val="24"/>
        </w:rPr>
        <w:t>právní</w:t>
      </w:r>
      <w:proofErr w:type="spellEnd"/>
      <w:r w:rsidRPr="007D6832">
        <w:rPr>
          <w:i/>
          <w:iCs/>
          <w:sz w:val="24"/>
        </w:rPr>
        <w:t xml:space="preserve"> </w:t>
      </w:r>
      <w:proofErr w:type="spellStart"/>
      <w:r w:rsidRPr="007D6832">
        <w:rPr>
          <w:i/>
          <w:iCs/>
          <w:sz w:val="24"/>
        </w:rPr>
        <w:t>předpis</w:t>
      </w:r>
      <w:proofErr w:type="spellEnd"/>
      <w:r w:rsidRPr="007D6832">
        <w:rPr>
          <w:i/>
          <w:iCs/>
          <w:sz w:val="24"/>
        </w:rPr>
        <w:t xml:space="preserve"> </w:t>
      </w:r>
      <w:proofErr w:type="spellStart"/>
      <w:r w:rsidRPr="007D6832">
        <w:rPr>
          <w:i/>
          <w:iCs/>
          <w:sz w:val="24"/>
        </w:rPr>
        <w:t>toliko</w:t>
      </w:r>
      <w:proofErr w:type="spellEnd"/>
      <w:r w:rsidRPr="007D6832">
        <w:rPr>
          <w:i/>
          <w:iCs/>
          <w:sz w:val="24"/>
        </w:rPr>
        <w:t xml:space="preserve"> </w:t>
      </w:r>
      <w:proofErr w:type="spellStart"/>
      <w:r w:rsidRPr="007D6832">
        <w:rPr>
          <w:i/>
          <w:iCs/>
          <w:sz w:val="24"/>
        </w:rPr>
        <w:t>derogovat</w:t>
      </w:r>
      <w:proofErr w:type="spellEnd"/>
      <w:r w:rsidRPr="007D6832">
        <w:rPr>
          <w:i/>
          <w:iCs/>
          <w:sz w:val="24"/>
        </w:rPr>
        <w:t xml:space="preserve"> (</w:t>
      </w:r>
      <w:proofErr w:type="spellStart"/>
      <w:r w:rsidRPr="007D6832">
        <w:rPr>
          <w:i/>
          <w:iCs/>
          <w:sz w:val="24"/>
        </w:rPr>
        <w:t>viz</w:t>
      </w:r>
      <w:proofErr w:type="spellEnd"/>
      <w:r w:rsidRPr="007D6832">
        <w:rPr>
          <w:i/>
          <w:iCs/>
          <w:sz w:val="24"/>
        </w:rPr>
        <w:t xml:space="preserve"> nález </w:t>
      </w:r>
      <w:proofErr w:type="spellStart"/>
      <w:r w:rsidRPr="007D6832">
        <w:rPr>
          <w:i/>
          <w:iCs/>
          <w:sz w:val="24"/>
        </w:rPr>
        <w:t>ze</w:t>
      </w:r>
      <w:proofErr w:type="spellEnd"/>
      <w:r w:rsidRPr="007D6832">
        <w:rPr>
          <w:i/>
          <w:iCs/>
          <w:sz w:val="24"/>
        </w:rPr>
        <w:t xml:space="preserve"> dne 12. 2. 2002 </w:t>
      </w:r>
      <w:proofErr w:type="spellStart"/>
      <w:r w:rsidRPr="007D6832">
        <w:rPr>
          <w:i/>
          <w:iCs/>
          <w:sz w:val="24"/>
        </w:rPr>
        <w:t>sp</w:t>
      </w:r>
      <w:proofErr w:type="spellEnd"/>
      <w:r w:rsidRPr="007D6832">
        <w:rPr>
          <w:i/>
          <w:iCs/>
          <w:sz w:val="24"/>
        </w:rPr>
        <w:t xml:space="preserve">. zn. </w:t>
      </w:r>
      <w:proofErr w:type="spellStart"/>
      <w:r w:rsidRPr="007D6832">
        <w:rPr>
          <w:i/>
          <w:iCs/>
          <w:sz w:val="24"/>
        </w:rPr>
        <w:t>Pl</w:t>
      </w:r>
      <w:proofErr w:type="spellEnd"/>
      <w:r w:rsidRPr="007D6832">
        <w:rPr>
          <w:i/>
          <w:iCs/>
          <w:sz w:val="24"/>
        </w:rPr>
        <w:t xml:space="preserve">. ÚS 21/01, </w:t>
      </w:r>
      <w:proofErr w:type="spellStart"/>
      <w:r w:rsidRPr="007D6832">
        <w:rPr>
          <w:i/>
          <w:iCs/>
          <w:sz w:val="24"/>
        </w:rPr>
        <w:t>vyhlášený</w:t>
      </w:r>
      <w:proofErr w:type="spellEnd"/>
      <w:r w:rsidRPr="007D6832">
        <w:rPr>
          <w:i/>
          <w:iCs/>
          <w:sz w:val="24"/>
        </w:rPr>
        <w:t xml:space="preserve"> pod č. 95/2002 </w:t>
      </w:r>
      <w:proofErr w:type="spellStart"/>
      <w:r w:rsidRPr="007D6832">
        <w:rPr>
          <w:i/>
          <w:iCs/>
          <w:sz w:val="24"/>
        </w:rPr>
        <w:t>Sb</w:t>
      </w:r>
      <w:proofErr w:type="spellEnd"/>
      <w:r w:rsidRPr="007D6832">
        <w:rPr>
          <w:i/>
          <w:iCs/>
          <w:sz w:val="24"/>
        </w:rPr>
        <w:t xml:space="preserve">. a </w:t>
      </w:r>
      <w:proofErr w:type="spellStart"/>
      <w:r w:rsidRPr="007D6832">
        <w:rPr>
          <w:i/>
          <w:iCs/>
          <w:sz w:val="24"/>
        </w:rPr>
        <w:t>uveřejněný</w:t>
      </w:r>
      <w:proofErr w:type="spellEnd"/>
      <w:r w:rsidRPr="007D6832">
        <w:rPr>
          <w:i/>
          <w:iCs/>
          <w:sz w:val="24"/>
        </w:rPr>
        <w:t xml:space="preserve"> </w:t>
      </w:r>
      <w:proofErr w:type="spellStart"/>
      <w:r w:rsidRPr="007D6832">
        <w:rPr>
          <w:i/>
          <w:iCs/>
          <w:sz w:val="24"/>
        </w:rPr>
        <w:t>ve</w:t>
      </w:r>
      <w:proofErr w:type="spellEnd"/>
      <w:r w:rsidRPr="007D6832">
        <w:rPr>
          <w:i/>
          <w:iCs/>
          <w:sz w:val="24"/>
        </w:rPr>
        <w:t xml:space="preserve"> </w:t>
      </w:r>
      <w:proofErr w:type="spellStart"/>
      <w:r w:rsidRPr="007D6832">
        <w:rPr>
          <w:i/>
          <w:iCs/>
          <w:sz w:val="24"/>
        </w:rPr>
        <w:t>Sbírce</w:t>
      </w:r>
      <w:proofErr w:type="spellEnd"/>
      <w:r w:rsidRPr="007D6832">
        <w:rPr>
          <w:i/>
          <w:iCs/>
          <w:sz w:val="24"/>
        </w:rPr>
        <w:t xml:space="preserve"> rozhodnutí, </w:t>
      </w:r>
      <w:proofErr w:type="spellStart"/>
      <w:r w:rsidRPr="007D6832">
        <w:rPr>
          <w:i/>
          <w:iCs/>
          <w:sz w:val="24"/>
        </w:rPr>
        <w:t>svazek</w:t>
      </w:r>
      <w:proofErr w:type="spellEnd"/>
      <w:r w:rsidRPr="007D6832">
        <w:rPr>
          <w:i/>
          <w:iCs/>
          <w:sz w:val="24"/>
        </w:rPr>
        <w:t xml:space="preserve"> 25, nález č. 14). </w:t>
      </w:r>
      <w:proofErr w:type="spellStart"/>
      <w:r w:rsidRPr="007D6832">
        <w:rPr>
          <w:i/>
          <w:iCs/>
          <w:sz w:val="24"/>
        </w:rPr>
        <w:t>Proto</w:t>
      </w:r>
      <w:proofErr w:type="spellEnd"/>
      <w:r w:rsidRPr="007D6832">
        <w:rPr>
          <w:i/>
          <w:iCs/>
          <w:sz w:val="24"/>
        </w:rPr>
        <w:t xml:space="preserve"> také zrušením </w:t>
      </w:r>
      <w:proofErr w:type="spellStart"/>
      <w:r w:rsidRPr="007D6832">
        <w:rPr>
          <w:i/>
          <w:iCs/>
          <w:sz w:val="24"/>
        </w:rPr>
        <w:t>napadeného</w:t>
      </w:r>
      <w:proofErr w:type="spellEnd"/>
      <w:r w:rsidRPr="007D6832">
        <w:rPr>
          <w:i/>
          <w:iCs/>
          <w:sz w:val="24"/>
        </w:rPr>
        <w:t xml:space="preserve"> </w:t>
      </w:r>
      <w:proofErr w:type="spellStart"/>
      <w:r w:rsidRPr="007D6832">
        <w:rPr>
          <w:i/>
          <w:iCs/>
          <w:sz w:val="24"/>
        </w:rPr>
        <w:t>předpisu</w:t>
      </w:r>
      <w:proofErr w:type="spellEnd"/>
      <w:r w:rsidRPr="007D6832">
        <w:rPr>
          <w:i/>
          <w:iCs/>
          <w:sz w:val="24"/>
        </w:rPr>
        <w:t xml:space="preserve"> </w:t>
      </w:r>
      <w:proofErr w:type="spellStart"/>
      <w:r w:rsidRPr="007D6832">
        <w:rPr>
          <w:i/>
          <w:iCs/>
          <w:sz w:val="24"/>
        </w:rPr>
        <w:t>může</w:t>
      </w:r>
      <w:proofErr w:type="spellEnd"/>
      <w:r w:rsidRPr="007D6832">
        <w:rPr>
          <w:i/>
          <w:iCs/>
          <w:sz w:val="24"/>
        </w:rPr>
        <w:t xml:space="preserve"> </w:t>
      </w:r>
      <w:proofErr w:type="spellStart"/>
      <w:r w:rsidRPr="007D6832">
        <w:rPr>
          <w:i/>
          <w:iCs/>
          <w:sz w:val="24"/>
        </w:rPr>
        <w:t>dojít</w:t>
      </w:r>
      <w:proofErr w:type="spellEnd"/>
      <w:r w:rsidRPr="007D6832">
        <w:rPr>
          <w:i/>
          <w:iCs/>
          <w:sz w:val="24"/>
        </w:rPr>
        <w:t xml:space="preserve"> </w:t>
      </w:r>
      <w:proofErr w:type="spellStart"/>
      <w:r w:rsidRPr="007D6832">
        <w:rPr>
          <w:i/>
          <w:iCs/>
          <w:sz w:val="24"/>
        </w:rPr>
        <w:t>výhradně</w:t>
      </w:r>
      <w:proofErr w:type="spellEnd"/>
      <w:r w:rsidRPr="007D6832">
        <w:rPr>
          <w:i/>
          <w:iCs/>
          <w:sz w:val="24"/>
        </w:rPr>
        <w:t xml:space="preserve"> k jeho „</w:t>
      </w:r>
      <w:proofErr w:type="spellStart"/>
      <w:r w:rsidRPr="007D6832">
        <w:rPr>
          <w:i/>
          <w:iCs/>
          <w:sz w:val="24"/>
        </w:rPr>
        <w:t>vyřazení</w:t>
      </w:r>
      <w:proofErr w:type="spellEnd"/>
      <w:r w:rsidRPr="007D6832">
        <w:rPr>
          <w:i/>
          <w:iCs/>
          <w:sz w:val="24"/>
        </w:rPr>
        <w:t xml:space="preserve">“ z </w:t>
      </w:r>
      <w:proofErr w:type="spellStart"/>
      <w:r w:rsidRPr="007D6832">
        <w:rPr>
          <w:i/>
          <w:iCs/>
          <w:sz w:val="24"/>
        </w:rPr>
        <w:t>právního</w:t>
      </w:r>
      <w:proofErr w:type="spellEnd"/>
      <w:r w:rsidRPr="007D6832">
        <w:rPr>
          <w:i/>
          <w:iCs/>
          <w:sz w:val="24"/>
        </w:rPr>
        <w:t xml:space="preserve"> </w:t>
      </w:r>
      <w:proofErr w:type="spellStart"/>
      <w:r w:rsidRPr="007D6832">
        <w:rPr>
          <w:i/>
          <w:iCs/>
          <w:sz w:val="24"/>
        </w:rPr>
        <w:t>řádu</w:t>
      </w:r>
      <w:proofErr w:type="spellEnd"/>
      <w:r w:rsidRPr="007D6832">
        <w:rPr>
          <w:i/>
          <w:iCs/>
          <w:sz w:val="24"/>
        </w:rPr>
        <w:t xml:space="preserve"> České republiky, a </w:t>
      </w:r>
      <w:proofErr w:type="spellStart"/>
      <w:r w:rsidRPr="007D6832">
        <w:rPr>
          <w:i/>
          <w:iCs/>
          <w:sz w:val="24"/>
        </w:rPr>
        <w:t>nikoliv</w:t>
      </w:r>
      <w:proofErr w:type="spellEnd"/>
      <w:r w:rsidRPr="007D6832">
        <w:rPr>
          <w:i/>
          <w:iCs/>
          <w:sz w:val="24"/>
        </w:rPr>
        <w:t xml:space="preserve"> k faktickému </w:t>
      </w:r>
      <w:proofErr w:type="spellStart"/>
      <w:r w:rsidRPr="007D6832">
        <w:rPr>
          <w:i/>
          <w:iCs/>
          <w:sz w:val="24"/>
        </w:rPr>
        <w:t>konstituování</w:t>
      </w:r>
      <w:proofErr w:type="spellEnd"/>
      <w:r w:rsidRPr="007D6832">
        <w:rPr>
          <w:i/>
          <w:iCs/>
          <w:sz w:val="24"/>
        </w:rPr>
        <w:t xml:space="preserve"> nové úpravy formou „</w:t>
      </w:r>
      <w:proofErr w:type="spellStart"/>
      <w:r w:rsidRPr="007D6832">
        <w:rPr>
          <w:i/>
          <w:iCs/>
          <w:sz w:val="24"/>
        </w:rPr>
        <w:t>ožívání</w:t>
      </w:r>
      <w:proofErr w:type="spellEnd"/>
      <w:r w:rsidRPr="007D6832">
        <w:rPr>
          <w:i/>
          <w:iCs/>
          <w:sz w:val="24"/>
        </w:rPr>
        <w:t xml:space="preserve">“ </w:t>
      </w:r>
      <w:proofErr w:type="spellStart"/>
      <w:r w:rsidRPr="007D6832">
        <w:rPr>
          <w:i/>
          <w:iCs/>
          <w:sz w:val="24"/>
        </w:rPr>
        <w:t>předpisu</w:t>
      </w:r>
      <w:proofErr w:type="spellEnd"/>
      <w:r w:rsidRPr="007D6832">
        <w:rPr>
          <w:i/>
          <w:iCs/>
          <w:sz w:val="24"/>
        </w:rPr>
        <w:t xml:space="preserve"> </w:t>
      </w:r>
      <w:proofErr w:type="spellStart"/>
      <w:r w:rsidRPr="007D6832">
        <w:rPr>
          <w:i/>
          <w:iCs/>
          <w:sz w:val="24"/>
        </w:rPr>
        <w:t>již</w:t>
      </w:r>
      <w:proofErr w:type="spellEnd"/>
      <w:r w:rsidRPr="007D6832">
        <w:rPr>
          <w:i/>
          <w:iCs/>
          <w:sz w:val="24"/>
        </w:rPr>
        <w:t xml:space="preserve"> </w:t>
      </w:r>
      <w:proofErr w:type="spellStart"/>
      <w:r w:rsidRPr="007D6832">
        <w:rPr>
          <w:i/>
          <w:iCs/>
          <w:sz w:val="24"/>
        </w:rPr>
        <w:t>dříve</w:t>
      </w:r>
      <w:proofErr w:type="spellEnd"/>
      <w:r w:rsidRPr="007D6832">
        <w:rPr>
          <w:i/>
          <w:iCs/>
          <w:sz w:val="24"/>
        </w:rPr>
        <w:t xml:space="preserve"> zrušeného. </w:t>
      </w:r>
    </w:p>
    <w:p w:rsidR="004D2920" w:rsidRPr="007D6832" w:rsidRDefault="004D2920" w:rsidP="004D2920">
      <w:pPr>
        <w:pStyle w:val="Zkladntextodsazen"/>
        <w:spacing w:before="120" w:line="240" w:lineRule="auto"/>
        <w:ind w:firstLine="0"/>
        <w:rPr>
          <w:i/>
          <w:iCs/>
          <w:sz w:val="24"/>
        </w:rPr>
      </w:pPr>
      <w:r w:rsidRPr="007D6832">
        <w:rPr>
          <w:i/>
          <w:iCs/>
          <w:sz w:val="24"/>
        </w:rPr>
        <w:t xml:space="preserve">V </w:t>
      </w:r>
      <w:proofErr w:type="spellStart"/>
      <w:r w:rsidRPr="007D6832">
        <w:rPr>
          <w:i/>
          <w:iCs/>
          <w:sz w:val="24"/>
        </w:rPr>
        <w:t>konkrétním</w:t>
      </w:r>
      <w:proofErr w:type="spellEnd"/>
      <w:r w:rsidRPr="007D6832">
        <w:rPr>
          <w:i/>
          <w:iCs/>
          <w:sz w:val="24"/>
        </w:rPr>
        <w:t xml:space="preserve"> </w:t>
      </w:r>
      <w:proofErr w:type="spellStart"/>
      <w:r w:rsidRPr="007D6832">
        <w:rPr>
          <w:i/>
          <w:iCs/>
          <w:sz w:val="24"/>
        </w:rPr>
        <w:t>případě</w:t>
      </w:r>
      <w:proofErr w:type="spellEnd"/>
      <w:r w:rsidRPr="007D6832">
        <w:rPr>
          <w:i/>
          <w:iCs/>
          <w:sz w:val="24"/>
        </w:rPr>
        <w:t xml:space="preserve"> </w:t>
      </w:r>
      <w:proofErr w:type="spellStart"/>
      <w:r w:rsidRPr="007D6832">
        <w:rPr>
          <w:i/>
          <w:iCs/>
          <w:sz w:val="24"/>
        </w:rPr>
        <w:t>se</w:t>
      </w:r>
      <w:proofErr w:type="spellEnd"/>
      <w:r w:rsidRPr="007D6832">
        <w:rPr>
          <w:i/>
          <w:iCs/>
          <w:sz w:val="24"/>
        </w:rPr>
        <w:t xml:space="preserve"> </w:t>
      </w:r>
      <w:proofErr w:type="spellStart"/>
      <w:r w:rsidRPr="007D6832">
        <w:rPr>
          <w:i/>
          <w:iCs/>
          <w:sz w:val="24"/>
        </w:rPr>
        <w:t>ovšem</w:t>
      </w:r>
      <w:proofErr w:type="spellEnd"/>
      <w:r w:rsidRPr="007D6832">
        <w:rPr>
          <w:i/>
          <w:iCs/>
          <w:sz w:val="24"/>
        </w:rPr>
        <w:t xml:space="preserve"> jedná o zrušení </w:t>
      </w:r>
      <w:proofErr w:type="spellStart"/>
      <w:r w:rsidRPr="007D6832">
        <w:rPr>
          <w:i/>
          <w:iCs/>
          <w:sz w:val="24"/>
        </w:rPr>
        <w:t>derogačního</w:t>
      </w:r>
      <w:proofErr w:type="spellEnd"/>
      <w:r w:rsidRPr="007D6832">
        <w:rPr>
          <w:i/>
          <w:iCs/>
          <w:sz w:val="24"/>
        </w:rPr>
        <w:t xml:space="preserve"> ustanovení zákona č. 229/2001 </w:t>
      </w:r>
      <w:proofErr w:type="spellStart"/>
      <w:r w:rsidRPr="007D6832">
        <w:rPr>
          <w:i/>
          <w:iCs/>
          <w:sz w:val="24"/>
        </w:rPr>
        <w:t>Sb</w:t>
      </w:r>
      <w:proofErr w:type="spellEnd"/>
      <w:r w:rsidRPr="007D6832">
        <w:rPr>
          <w:i/>
          <w:iCs/>
          <w:sz w:val="24"/>
        </w:rPr>
        <w:t xml:space="preserve">. V </w:t>
      </w:r>
      <w:proofErr w:type="spellStart"/>
      <w:r w:rsidRPr="007D6832">
        <w:rPr>
          <w:i/>
          <w:iCs/>
          <w:sz w:val="24"/>
        </w:rPr>
        <w:t>této</w:t>
      </w:r>
      <w:proofErr w:type="spellEnd"/>
      <w:r w:rsidRPr="007D6832">
        <w:rPr>
          <w:i/>
          <w:iCs/>
          <w:sz w:val="24"/>
        </w:rPr>
        <w:t xml:space="preserve"> </w:t>
      </w:r>
      <w:proofErr w:type="spellStart"/>
      <w:r w:rsidRPr="007D6832">
        <w:rPr>
          <w:i/>
          <w:iCs/>
          <w:sz w:val="24"/>
        </w:rPr>
        <w:t>souvislosti</w:t>
      </w:r>
      <w:proofErr w:type="spellEnd"/>
      <w:r w:rsidRPr="007D6832">
        <w:rPr>
          <w:i/>
          <w:iCs/>
          <w:sz w:val="24"/>
        </w:rPr>
        <w:t xml:space="preserve"> Ústavní </w:t>
      </w:r>
      <w:proofErr w:type="spellStart"/>
      <w:r w:rsidRPr="007D6832">
        <w:rPr>
          <w:i/>
          <w:iCs/>
          <w:sz w:val="24"/>
        </w:rPr>
        <w:t>soud</w:t>
      </w:r>
      <w:proofErr w:type="spellEnd"/>
      <w:r w:rsidRPr="007D6832">
        <w:rPr>
          <w:i/>
          <w:iCs/>
          <w:sz w:val="24"/>
        </w:rPr>
        <w:t xml:space="preserve"> poukazuje na </w:t>
      </w:r>
      <w:proofErr w:type="spellStart"/>
      <w:r w:rsidRPr="007D6832">
        <w:rPr>
          <w:i/>
          <w:iCs/>
          <w:sz w:val="24"/>
        </w:rPr>
        <w:t>svůj</w:t>
      </w:r>
      <w:proofErr w:type="spellEnd"/>
      <w:r w:rsidRPr="007D6832">
        <w:rPr>
          <w:i/>
          <w:iCs/>
          <w:sz w:val="24"/>
        </w:rPr>
        <w:t xml:space="preserve"> nález </w:t>
      </w:r>
      <w:proofErr w:type="spellStart"/>
      <w:r w:rsidRPr="007D6832">
        <w:rPr>
          <w:i/>
          <w:iCs/>
          <w:sz w:val="24"/>
        </w:rPr>
        <w:t>ze</w:t>
      </w:r>
      <w:proofErr w:type="spellEnd"/>
      <w:r w:rsidRPr="007D6832">
        <w:rPr>
          <w:i/>
          <w:iCs/>
          <w:sz w:val="24"/>
        </w:rPr>
        <w:t xml:space="preserve"> dne 30. 11. 1994 </w:t>
      </w:r>
      <w:proofErr w:type="spellStart"/>
      <w:r w:rsidRPr="007D6832">
        <w:rPr>
          <w:i/>
          <w:iCs/>
          <w:sz w:val="24"/>
        </w:rPr>
        <w:t>sp</w:t>
      </w:r>
      <w:proofErr w:type="spellEnd"/>
      <w:r w:rsidRPr="007D6832">
        <w:rPr>
          <w:i/>
          <w:iCs/>
          <w:sz w:val="24"/>
        </w:rPr>
        <w:t xml:space="preserve">. zn. </w:t>
      </w:r>
      <w:proofErr w:type="spellStart"/>
      <w:r w:rsidRPr="007D6832">
        <w:rPr>
          <w:i/>
          <w:iCs/>
          <w:sz w:val="24"/>
        </w:rPr>
        <w:t>Pl</w:t>
      </w:r>
      <w:proofErr w:type="spellEnd"/>
      <w:r w:rsidRPr="007D6832">
        <w:rPr>
          <w:i/>
          <w:iCs/>
          <w:sz w:val="24"/>
        </w:rPr>
        <w:t xml:space="preserve">. ÚS 5/94, </w:t>
      </w:r>
      <w:proofErr w:type="spellStart"/>
      <w:r w:rsidRPr="007D6832">
        <w:rPr>
          <w:i/>
          <w:iCs/>
          <w:sz w:val="24"/>
        </w:rPr>
        <w:t>vyhlášený</w:t>
      </w:r>
      <w:proofErr w:type="spellEnd"/>
      <w:r w:rsidRPr="007D6832">
        <w:rPr>
          <w:i/>
          <w:iCs/>
          <w:sz w:val="24"/>
        </w:rPr>
        <w:t xml:space="preserve"> pod č. 8/1995 </w:t>
      </w:r>
      <w:proofErr w:type="spellStart"/>
      <w:r w:rsidRPr="007D6832">
        <w:rPr>
          <w:i/>
          <w:iCs/>
          <w:sz w:val="24"/>
        </w:rPr>
        <w:t>Sb</w:t>
      </w:r>
      <w:proofErr w:type="spellEnd"/>
      <w:r w:rsidRPr="007D6832">
        <w:rPr>
          <w:i/>
          <w:iCs/>
          <w:sz w:val="24"/>
        </w:rPr>
        <w:t xml:space="preserve">. a </w:t>
      </w:r>
      <w:proofErr w:type="spellStart"/>
      <w:r w:rsidRPr="007D6832">
        <w:rPr>
          <w:i/>
          <w:iCs/>
          <w:sz w:val="24"/>
        </w:rPr>
        <w:t>uveřejněný</w:t>
      </w:r>
      <w:proofErr w:type="spellEnd"/>
      <w:r w:rsidRPr="007D6832">
        <w:rPr>
          <w:i/>
          <w:iCs/>
          <w:sz w:val="24"/>
        </w:rPr>
        <w:t xml:space="preserve"> </w:t>
      </w:r>
      <w:proofErr w:type="spellStart"/>
      <w:r w:rsidRPr="007D6832">
        <w:rPr>
          <w:i/>
          <w:iCs/>
          <w:sz w:val="24"/>
        </w:rPr>
        <w:t>ve</w:t>
      </w:r>
      <w:proofErr w:type="spellEnd"/>
      <w:r w:rsidRPr="007D6832">
        <w:rPr>
          <w:i/>
          <w:iCs/>
          <w:sz w:val="24"/>
        </w:rPr>
        <w:t xml:space="preserve"> </w:t>
      </w:r>
      <w:proofErr w:type="spellStart"/>
      <w:r w:rsidRPr="007D6832">
        <w:rPr>
          <w:i/>
          <w:iCs/>
          <w:sz w:val="24"/>
        </w:rPr>
        <w:t>Sbírce</w:t>
      </w:r>
      <w:proofErr w:type="spellEnd"/>
      <w:r w:rsidRPr="007D6832">
        <w:rPr>
          <w:i/>
          <w:iCs/>
          <w:sz w:val="24"/>
        </w:rPr>
        <w:t xml:space="preserve"> rozhodnutí, </w:t>
      </w:r>
      <w:proofErr w:type="spellStart"/>
      <w:r w:rsidRPr="007D6832">
        <w:rPr>
          <w:i/>
          <w:iCs/>
          <w:sz w:val="24"/>
        </w:rPr>
        <w:t>svazek</w:t>
      </w:r>
      <w:proofErr w:type="spellEnd"/>
      <w:r w:rsidRPr="007D6832">
        <w:rPr>
          <w:i/>
          <w:iCs/>
          <w:sz w:val="24"/>
        </w:rPr>
        <w:t xml:space="preserve"> 2, nález č. 59. V </w:t>
      </w:r>
      <w:proofErr w:type="spellStart"/>
      <w:r w:rsidRPr="007D6832">
        <w:rPr>
          <w:i/>
          <w:iCs/>
          <w:sz w:val="24"/>
        </w:rPr>
        <w:t>uvedeném</w:t>
      </w:r>
      <w:proofErr w:type="spellEnd"/>
      <w:r w:rsidRPr="007D6832">
        <w:rPr>
          <w:i/>
          <w:iCs/>
          <w:sz w:val="24"/>
        </w:rPr>
        <w:t xml:space="preserve"> nálezu Ústavní </w:t>
      </w:r>
      <w:proofErr w:type="spellStart"/>
      <w:r w:rsidRPr="007D6832">
        <w:rPr>
          <w:i/>
          <w:iCs/>
          <w:sz w:val="24"/>
        </w:rPr>
        <w:t>soud</w:t>
      </w:r>
      <w:proofErr w:type="spellEnd"/>
      <w:r w:rsidRPr="007D6832">
        <w:rPr>
          <w:i/>
          <w:iCs/>
          <w:sz w:val="24"/>
        </w:rPr>
        <w:t xml:space="preserve"> zrušil bod 198 zákona č. 292/1993 </w:t>
      </w:r>
      <w:proofErr w:type="spellStart"/>
      <w:r w:rsidRPr="007D6832">
        <w:rPr>
          <w:i/>
          <w:iCs/>
          <w:sz w:val="24"/>
        </w:rPr>
        <w:t>Sb</w:t>
      </w:r>
      <w:proofErr w:type="spellEnd"/>
      <w:r w:rsidRPr="007D6832">
        <w:rPr>
          <w:i/>
          <w:iCs/>
          <w:sz w:val="24"/>
        </w:rPr>
        <w:t xml:space="preserve">., </w:t>
      </w:r>
      <w:proofErr w:type="spellStart"/>
      <w:r w:rsidRPr="007D6832">
        <w:rPr>
          <w:i/>
          <w:iCs/>
          <w:sz w:val="24"/>
        </w:rPr>
        <w:t>kterým</w:t>
      </w:r>
      <w:proofErr w:type="spellEnd"/>
      <w:r w:rsidRPr="007D6832">
        <w:rPr>
          <w:i/>
          <w:iCs/>
          <w:sz w:val="24"/>
        </w:rPr>
        <w:t xml:space="preserve"> </w:t>
      </w:r>
      <w:proofErr w:type="spellStart"/>
      <w:r w:rsidRPr="007D6832">
        <w:rPr>
          <w:i/>
          <w:iCs/>
          <w:sz w:val="24"/>
        </w:rPr>
        <w:t>byl</w:t>
      </w:r>
      <w:proofErr w:type="spellEnd"/>
      <w:r w:rsidRPr="007D6832">
        <w:rPr>
          <w:i/>
          <w:iCs/>
          <w:sz w:val="24"/>
        </w:rPr>
        <w:t xml:space="preserve"> </w:t>
      </w:r>
      <w:proofErr w:type="spellStart"/>
      <w:r w:rsidRPr="007D6832">
        <w:rPr>
          <w:i/>
          <w:iCs/>
          <w:sz w:val="24"/>
        </w:rPr>
        <w:t>změněn</w:t>
      </w:r>
      <w:proofErr w:type="spellEnd"/>
      <w:r w:rsidRPr="007D6832">
        <w:rPr>
          <w:i/>
          <w:iCs/>
          <w:sz w:val="24"/>
        </w:rPr>
        <w:t xml:space="preserve"> a </w:t>
      </w:r>
      <w:proofErr w:type="spellStart"/>
      <w:r w:rsidRPr="007D6832">
        <w:rPr>
          <w:i/>
          <w:iCs/>
          <w:sz w:val="24"/>
        </w:rPr>
        <w:t>doplněn</w:t>
      </w:r>
      <w:proofErr w:type="spellEnd"/>
      <w:r w:rsidRPr="007D6832">
        <w:rPr>
          <w:i/>
          <w:iCs/>
          <w:sz w:val="24"/>
        </w:rPr>
        <w:t xml:space="preserve"> zákon č. 141/1961 </w:t>
      </w:r>
      <w:proofErr w:type="spellStart"/>
      <w:r w:rsidRPr="007D6832">
        <w:rPr>
          <w:i/>
          <w:iCs/>
          <w:sz w:val="24"/>
        </w:rPr>
        <w:t>Sb</w:t>
      </w:r>
      <w:proofErr w:type="spellEnd"/>
      <w:r w:rsidRPr="007D6832">
        <w:rPr>
          <w:i/>
          <w:iCs/>
          <w:sz w:val="24"/>
        </w:rPr>
        <w:t xml:space="preserve">., o </w:t>
      </w:r>
      <w:proofErr w:type="spellStart"/>
      <w:r w:rsidRPr="007D6832">
        <w:rPr>
          <w:i/>
          <w:iCs/>
          <w:sz w:val="24"/>
        </w:rPr>
        <w:t>trestním</w:t>
      </w:r>
      <w:proofErr w:type="spellEnd"/>
      <w:r w:rsidRPr="007D6832">
        <w:rPr>
          <w:i/>
          <w:iCs/>
          <w:sz w:val="24"/>
        </w:rPr>
        <w:t xml:space="preserve"> </w:t>
      </w:r>
      <w:proofErr w:type="spellStart"/>
      <w:r w:rsidRPr="007D6832">
        <w:rPr>
          <w:i/>
          <w:iCs/>
          <w:sz w:val="24"/>
        </w:rPr>
        <w:t>řízení</w:t>
      </w:r>
      <w:proofErr w:type="spellEnd"/>
      <w:r w:rsidRPr="007D6832">
        <w:rPr>
          <w:i/>
          <w:iCs/>
          <w:sz w:val="24"/>
        </w:rPr>
        <w:t xml:space="preserve"> </w:t>
      </w:r>
      <w:proofErr w:type="spellStart"/>
      <w:r w:rsidRPr="007D6832">
        <w:rPr>
          <w:i/>
          <w:iCs/>
          <w:sz w:val="24"/>
        </w:rPr>
        <w:t>soudním</w:t>
      </w:r>
      <w:proofErr w:type="spellEnd"/>
      <w:r w:rsidRPr="007D6832">
        <w:rPr>
          <w:i/>
          <w:iCs/>
          <w:sz w:val="24"/>
        </w:rPr>
        <w:t xml:space="preserve"> (trestní </w:t>
      </w:r>
      <w:proofErr w:type="spellStart"/>
      <w:r w:rsidRPr="007D6832">
        <w:rPr>
          <w:i/>
          <w:iCs/>
          <w:sz w:val="24"/>
        </w:rPr>
        <w:t>řád</w:t>
      </w:r>
      <w:proofErr w:type="spellEnd"/>
      <w:r w:rsidRPr="007D6832">
        <w:rPr>
          <w:i/>
          <w:iCs/>
          <w:sz w:val="24"/>
        </w:rPr>
        <w:t xml:space="preserve">). Bod 198 uvedeného zákona vypustil z </w:t>
      </w:r>
      <w:proofErr w:type="spellStart"/>
      <w:r w:rsidRPr="007D6832">
        <w:rPr>
          <w:i/>
          <w:iCs/>
          <w:sz w:val="24"/>
        </w:rPr>
        <w:t>trestního</w:t>
      </w:r>
      <w:proofErr w:type="spellEnd"/>
      <w:r w:rsidRPr="007D6832">
        <w:rPr>
          <w:i/>
          <w:iCs/>
          <w:sz w:val="24"/>
        </w:rPr>
        <w:t xml:space="preserve"> </w:t>
      </w:r>
      <w:proofErr w:type="spellStart"/>
      <w:r w:rsidRPr="007D6832">
        <w:rPr>
          <w:i/>
          <w:iCs/>
          <w:sz w:val="24"/>
        </w:rPr>
        <w:t>řádu</w:t>
      </w:r>
      <w:proofErr w:type="spellEnd"/>
      <w:r w:rsidRPr="007D6832">
        <w:rPr>
          <w:i/>
          <w:iCs/>
          <w:sz w:val="24"/>
        </w:rPr>
        <w:t xml:space="preserve"> ustanovení § 324, </w:t>
      </w:r>
      <w:proofErr w:type="spellStart"/>
      <w:r w:rsidRPr="007D6832">
        <w:rPr>
          <w:i/>
          <w:iCs/>
          <w:sz w:val="24"/>
        </w:rPr>
        <w:t>který</w:t>
      </w:r>
      <w:proofErr w:type="spellEnd"/>
      <w:r w:rsidRPr="007D6832">
        <w:rPr>
          <w:i/>
          <w:iCs/>
          <w:sz w:val="24"/>
        </w:rPr>
        <w:t xml:space="preserve"> upravoval </w:t>
      </w:r>
      <w:proofErr w:type="spellStart"/>
      <w:r w:rsidRPr="007D6832">
        <w:rPr>
          <w:i/>
          <w:iCs/>
          <w:sz w:val="24"/>
        </w:rPr>
        <w:t>rozhodování</w:t>
      </w:r>
      <w:proofErr w:type="spellEnd"/>
      <w:r w:rsidRPr="007D6832">
        <w:rPr>
          <w:i/>
          <w:iCs/>
          <w:sz w:val="24"/>
        </w:rPr>
        <w:t xml:space="preserve"> o </w:t>
      </w:r>
      <w:proofErr w:type="spellStart"/>
      <w:r w:rsidRPr="007D6832">
        <w:rPr>
          <w:i/>
          <w:iCs/>
          <w:sz w:val="24"/>
        </w:rPr>
        <w:t>změně</w:t>
      </w:r>
      <w:proofErr w:type="spellEnd"/>
      <w:r w:rsidRPr="007D6832">
        <w:rPr>
          <w:i/>
          <w:iCs/>
          <w:sz w:val="24"/>
        </w:rPr>
        <w:t xml:space="preserve"> </w:t>
      </w:r>
      <w:proofErr w:type="spellStart"/>
      <w:r w:rsidRPr="007D6832">
        <w:rPr>
          <w:i/>
          <w:iCs/>
          <w:sz w:val="24"/>
        </w:rPr>
        <w:t>způsobu</w:t>
      </w:r>
      <w:proofErr w:type="spellEnd"/>
      <w:r w:rsidRPr="007D6832">
        <w:rPr>
          <w:i/>
          <w:iCs/>
          <w:sz w:val="24"/>
        </w:rPr>
        <w:t xml:space="preserve"> výkonu trestu. </w:t>
      </w:r>
      <w:proofErr w:type="spellStart"/>
      <w:r w:rsidRPr="007D6832">
        <w:rPr>
          <w:i/>
          <w:iCs/>
          <w:sz w:val="24"/>
        </w:rPr>
        <w:t>Zmíněná</w:t>
      </w:r>
      <w:proofErr w:type="spellEnd"/>
      <w:r w:rsidRPr="007D6832">
        <w:rPr>
          <w:i/>
          <w:iCs/>
          <w:sz w:val="24"/>
        </w:rPr>
        <w:t xml:space="preserve"> </w:t>
      </w:r>
      <w:proofErr w:type="spellStart"/>
      <w:r w:rsidRPr="007D6832">
        <w:rPr>
          <w:i/>
          <w:iCs/>
          <w:sz w:val="24"/>
        </w:rPr>
        <w:t>derogace</w:t>
      </w:r>
      <w:proofErr w:type="spellEnd"/>
      <w:r w:rsidRPr="007D6832">
        <w:rPr>
          <w:i/>
          <w:iCs/>
          <w:sz w:val="24"/>
        </w:rPr>
        <w:t xml:space="preserve"> </w:t>
      </w:r>
      <w:proofErr w:type="spellStart"/>
      <w:r w:rsidRPr="007D6832">
        <w:rPr>
          <w:i/>
          <w:iCs/>
          <w:sz w:val="24"/>
        </w:rPr>
        <w:t>derogačního</w:t>
      </w:r>
      <w:proofErr w:type="spellEnd"/>
      <w:r w:rsidRPr="007D6832">
        <w:rPr>
          <w:i/>
          <w:iCs/>
          <w:sz w:val="24"/>
        </w:rPr>
        <w:t xml:space="preserve"> ustanovení bodu 198 zákona č. 292/1993 </w:t>
      </w:r>
      <w:proofErr w:type="spellStart"/>
      <w:r w:rsidRPr="007D6832">
        <w:rPr>
          <w:i/>
          <w:iCs/>
          <w:sz w:val="24"/>
        </w:rPr>
        <w:t>Sb</w:t>
      </w:r>
      <w:proofErr w:type="spellEnd"/>
      <w:r w:rsidRPr="007D6832">
        <w:rPr>
          <w:i/>
          <w:iCs/>
          <w:sz w:val="24"/>
        </w:rPr>
        <w:t xml:space="preserve">. </w:t>
      </w:r>
      <w:proofErr w:type="spellStart"/>
      <w:r w:rsidRPr="007D6832">
        <w:rPr>
          <w:i/>
          <w:iCs/>
          <w:sz w:val="24"/>
        </w:rPr>
        <w:t>měla</w:t>
      </w:r>
      <w:proofErr w:type="spellEnd"/>
      <w:r w:rsidRPr="007D6832">
        <w:rPr>
          <w:i/>
          <w:iCs/>
          <w:sz w:val="24"/>
        </w:rPr>
        <w:t xml:space="preserve"> za </w:t>
      </w:r>
      <w:proofErr w:type="spellStart"/>
      <w:r w:rsidRPr="007D6832">
        <w:rPr>
          <w:i/>
          <w:iCs/>
          <w:sz w:val="24"/>
        </w:rPr>
        <w:t>následek</w:t>
      </w:r>
      <w:proofErr w:type="spellEnd"/>
      <w:r w:rsidRPr="007D6832">
        <w:rPr>
          <w:i/>
          <w:iCs/>
          <w:sz w:val="24"/>
        </w:rPr>
        <w:t xml:space="preserve"> „</w:t>
      </w:r>
      <w:proofErr w:type="spellStart"/>
      <w:r w:rsidRPr="007D6832">
        <w:rPr>
          <w:i/>
          <w:iCs/>
          <w:sz w:val="24"/>
        </w:rPr>
        <w:t>rehabilitaci</w:t>
      </w:r>
      <w:proofErr w:type="spellEnd"/>
      <w:r w:rsidRPr="007D6832">
        <w:rPr>
          <w:i/>
          <w:iCs/>
          <w:sz w:val="24"/>
        </w:rPr>
        <w:t xml:space="preserve">“ ustanovení § 324 </w:t>
      </w:r>
      <w:proofErr w:type="spellStart"/>
      <w:r w:rsidRPr="007D6832">
        <w:rPr>
          <w:i/>
          <w:iCs/>
          <w:sz w:val="24"/>
        </w:rPr>
        <w:t>trestního</w:t>
      </w:r>
      <w:proofErr w:type="spellEnd"/>
      <w:r w:rsidRPr="007D6832">
        <w:rPr>
          <w:i/>
          <w:iCs/>
          <w:sz w:val="24"/>
        </w:rPr>
        <w:t xml:space="preserve"> </w:t>
      </w:r>
      <w:proofErr w:type="spellStart"/>
      <w:r w:rsidRPr="007D6832">
        <w:rPr>
          <w:i/>
          <w:iCs/>
          <w:sz w:val="24"/>
        </w:rPr>
        <w:t>řádu</w:t>
      </w:r>
      <w:proofErr w:type="spellEnd"/>
      <w:r w:rsidRPr="007D6832">
        <w:rPr>
          <w:i/>
          <w:iCs/>
          <w:sz w:val="24"/>
        </w:rPr>
        <w:t xml:space="preserve">, </w:t>
      </w:r>
      <w:proofErr w:type="spellStart"/>
      <w:r w:rsidRPr="007D6832">
        <w:rPr>
          <w:i/>
          <w:iCs/>
          <w:sz w:val="24"/>
        </w:rPr>
        <w:t>které</w:t>
      </w:r>
      <w:proofErr w:type="spellEnd"/>
      <w:r w:rsidRPr="007D6832">
        <w:rPr>
          <w:i/>
          <w:iCs/>
          <w:sz w:val="24"/>
        </w:rPr>
        <w:t xml:space="preserve"> je jeho </w:t>
      </w:r>
      <w:proofErr w:type="spellStart"/>
      <w:r w:rsidRPr="007D6832">
        <w:rPr>
          <w:i/>
          <w:iCs/>
          <w:sz w:val="24"/>
        </w:rPr>
        <w:t>součástí</w:t>
      </w:r>
      <w:proofErr w:type="spellEnd"/>
      <w:r w:rsidRPr="007D6832">
        <w:rPr>
          <w:i/>
          <w:iCs/>
          <w:sz w:val="24"/>
        </w:rPr>
        <w:t xml:space="preserve"> až do </w:t>
      </w:r>
      <w:proofErr w:type="spellStart"/>
      <w:r w:rsidRPr="007D6832">
        <w:rPr>
          <w:i/>
          <w:iCs/>
          <w:sz w:val="24"/>
        </w:rPr>
        <w:t>těchto</w:t>
      </w:r>
      <w:proofErr w:type="spellEnd"/>
      <w:r w:rsidRPr="007D6832">
        <w:rPr>
          <w:i/>
          <w:iCs/>
          <w:sz w:val="24"/>
        </w:rPr>
        <w:t xml:space="preserve"> </w:t>
      </w:r>
      <w:proofErr w:type="spellStart"/>
      <w:r w:rsidRPr="007D6832">
        <w:rPr>
          <w:i/>
          <w:iCs/>
          <w:sz w:val="24"/>
        </w:rPr>
        <w:t>dnů</w:t>
      </w:r>
      <w:proofErr w:type="spellEnd"/>
      <w:r w:rsidRPr="007D6832">
        <w:rPr>
          <w:i/>
          <w:iCs/>
          <w:sz w:val="24"/>
        </w:rPr>
        <w:t xml:space="preserve">. </w:t>
      </w:r>
      <w:proofErr w:type="spellStart"/>
      <w:r w:rsidRPr="007D6832">
        <w:rPr>
          <w:i/>
          <w:iCs/>
          <w:sz w:val="24"/>
        </w:rPr>
        <w:t>Lze</w:t>
      </w:r>
      <w:proofErr w:type="spellEnd"/>
      <w:r w:rsidRPr="007D6832">
        <w:rPr>
          <w:i/>
          <w:iCs/>
          <w:sz w:val="24"/>
        </w:rPr>
        <w:t xml:space="preserve"> </w:t>
      </w:r>
      <w:proofErr w:type="spellStart"/>
      <w:r w:rsidRPr="007D6832">
        <w:rPr>
          <w:i/>
          <w:iCs/>
          <w:sz w:val="24"/>
        </w:rPr>
        <w:t>tedy</w:t>
      </w:r>
      <w:proofErr w:type="spellEnd"/>
      <w:r w:rsidRPr="007D6832">
        <w:rPr>
          <w:i/>
          <w:iCs/>
          <w:sz w:val="24"/>
        </w:rPr>
        <w:t xml:space="preserve"> </w:t>
      </w:r>
      <w:proofErr w:type="spellStart"/>
      <w:r w:rsidRPr="007D6832">
        <w:rPr>
          <w:i/>
          <w:iCs/>
          <w:sz w:val="24"/>
        </w:rPr>
        <w:t>přisvědčit</w:t>
      </w:r>
      <w:proofErr w:type="spellEnd"/>
      <w:r w:rsidRPr="007D6832">
        <w:rPr>
          <w:i/>
          <w:iCs/>
          <w:sz w:val="24"/>
        </w:rPr>
        <w:t xml:space="preserve"> názoru </w:t>
      </w:r>
      <w:proofErr w:type="spellStart"/>
      <w:r w:rsidRPr="007D6832">
        <w:rPr>
          <w:i/>
          <w:iCs/>
          <w:sz w:val="24"/>
        </w:rPr>
        <w:t>navrhovatele</w:t>
      </w:r>
      <w:proofErr w:type="spellEnd"/>
      <w:r w:rsidRPr="007D6832">
        <w:rPr>
          <w:i/>
          <w:iCs/>
          <w:sz w:val="24"/>
        </w:rPr>
        <w:t xml:space="preserve">, že zrušením </w:t>
      </w:r>
      <w:proofErr w:type="spellStart"/>
      <w:r w:rsidRPr="007D6832">
        <w:rPr>
          <w:i/>
          <w:iCs/>
          <w:sz w:val="24"/>
        </w:rPr>
        <w:t>části</w:t>
      </w:r>
      <w:proofErr w:type="spellEnd"/>
      <w:r w:rsidRPr="007D6832">
        <w:rPr>
          <w:i/>
          <w:iCs/>
          <w:sz w:val="24"/>
        </w:rPr>
        <w:t xml:space="preserve"> druhé čl. II zákona č. 229/2001 </w:t>
      </w:r>
      <w:proofErr w:type="spellStart"/>
      <w:r w:rsidRPr="007D6832">
        <w:rPr>
          <w:i/>
          <w:iCs/>
          <w:sz w:val="24"/>
        </w:rPr>
        <w:t>Sb</w:t>
      </w:r>
      <w:proofErr w:type="spellEnd"/>
      <w:r w:rsidRPr="007D6832">
        <w:rPr>
          <w:i/>
          <w:iCs/>
          <w:sz w:val="24"/>
        </w:rPr>
        <w:t xml:space="preserve">. </w:t>
      </w:r>
      <w:proofErr w:type="spellStart"/>
      <w:r w:rsidRPr="007D6832">
        <w:rPr>
          <w:i/>
          <w:iCs/>
          <w:sz w:val="24"/>
        </w:rPr>
        <w:t>se</w:t>
      </w:r>
      <w:proofErr w:type="spellEnd"/>
      <w:r w:rsidRPr="007D6832">
        <w:rPr>
          <w:i/>
          <w:iCs/>
          <w:sz w:val="24"/>
        </w:rPr>
        <w:t xml:space="preserve"> obnoví stav založený </w:t>
      </w:r>
      <w:proofErr w:type="spellStart"/>
      <w:r w:rsidRPr="007D6832">
        <w:rPr>
          <w:i/>
          <w:iCs/>
          <w:sz w:val="24"/>
        </w:rPr>
        <w:t>ustanoveními</w:t>
      </w:r>
      <w:proofErr w:type="spellEnd"/>
      <w:r w:rsidRPr="007D6832">
        <w:rPr>
          <w:i/>
          <w:iCs/>
          <w:sz w:val="24"/>
        </w:rPr>
        <w:t xml:space="preserve"> § 879c, 879d a 879e </w:t>
      </w:r>
      <w:proofErr w:type="spellStart"/>
      <w:r w:rsidRPr="007D6832">
        <w:rPr>
          <w:i/>
          <w:iCs/>
          <w:sz w:val="24"/>
        </w:rPr>
        <w:t>ObčZ</w:t>
      </w:r>
      <w:proofErr w:type="spellEnd"/>
      <w:r w:rsidRPr="007D6832">
        <w:rPr>
          <w:i/>
          <w:iCs/>
          <w:sz w:val="24"/>
        </w:rPr>
        <w:t xml:space="preserve">. </w:t>
      </w:r>
    </w:p>
    <w:p w:rsidR="004D2920" w:rsidRPr="007D6832" w:rsidRDefault="004D2920" w:rsidP="004D2920">
      <w:pPr>
        <w:pStyle w:val="Zkladntextodsazen"/>
        <w:spacing w:before="120" w:line="240" w:lineRule="auto"/>
        <w:ind w:firstLine="0"/>
        <w:rPr>
          <w:i/>
          <w:iCs/>
          <w:sz w:val="24"/>
        </w:rPr>
      </w:pPr>
      <w:r w:rsidRPr="007D6832">
        <w:rPr>
          <w:i/>
          <w:iCs/>
          <w:sz w:val="24"/>
        </w:rPr>
        <w:t xml:space="preserve">Tato </w:t>
      </w:r>
      <w:proofErr w:type="spellStart"/>
      <w:r w:rsidRPr="007D6832">
        <w:rPr>
          <w:i/>
          <w:iCs/>
          <w:sz w:val="24"/>
        </w:rPr>
        <w:t>skutečnost</w:t>
      </w:r>
      <w:proofErr w:type="spellEnd"/>
      <w:r w:rsidRPr="007D6832">
        <w:rPr>
          <w:i/>
          <w:iCs/>
          <w:sz w:val="24"/>
        </w:rPr>
        <w:t xml:space="preserve"> by </w:t>
      </w:r>
      <w:proofErr w:type="spellStart"/>
      <w:r w:rsidRPr="007D6832">
        <w:rPr>
          <w:i/>
          <w:iCs/>
          <w:sz w:val="24"/>
        </w:rPr>
        <w:t>ovšem</w:t>
      </w:r>
      <w:proofErr w:type="spellEnd"/>
      <w:r w:rsidRPr="007D6832">
        <w:rPr>
          <w:i/>
          <w:iCs/>
          <w:sz w:val="24"/>
        </w:rPr>
        <w:t xml:space="preserve"> </w:t>
      </w:r>
      <w:proofErr w:type="spellStart"/>
      <w:r w:rsidRPr="007D6832">
        <w:rPr>
          <w:i/>
          <w:iCs/>
          <w:sz w:val="24"/>
        </w:rPr>
        <w:t>měla</w:t>
      </w:r>
      <w:proofErr w:type="spellEnd"/>
      <w:r w:rsidRPr="007D6832">
        <w:rPr>
          <w:i/>
          <w:iCs/>
          <w:sz w:val="24"/>
        </w:rPr>
        <w:t xml:space="preserve"> za </w:t>
      </w:r>
      <w:proofErr w:type="spellStart"/>
      <w:r w:rsidRPr="007D6832">
        <w:rPr>
          <w:i/>
          <w:iCs/>
          <w:sz w:val="24"/>
        </w:rPr>
        <w:t>následek</w:t>
      </w:r>
      <w:proofErr w:type="spellEnd"/>
      <w:r w:rsidRPr="007D6832">
        <w:rPr>
          <w:i/>
          <w:iCs/>
          <w:sz w:val="24"/>
        </w:rPr>
        <w:t xml:space="preserve"> vznik značné </w:t>
      </w:r>
      <w:proofErr w:type="spellStart"/>
      <w:r w:rsidRPr="007D6832">
        <w:rPr>
          <w:i/>
          <w:iCs/>
          <w:sz w:val="24"/>
        </w:rPr>
        <w:t>právní</w:t>
      </w:r>
      <w:proofErr w:type="spellEnd"/>
      <w:r w:rsidRPr="007D6832">
        <w:rPr>
          <w:i/>
          <w:iCs/>
          <w:sz w:val="24"/>
        </w:rPr>
        <w:t xml:space="preserve"> </w:t>
      </w:r>
      <w:proofErr w:type="spellStart"/>
      <w:r w:rsidRPr="007D6832">
        <w:rPr>
          <w:i/>
          <w:iCs/>
          <w:sz w:val="24"/>
        </w:rPr>
        <w:t>nejistoty</w:t>
      </w:r>
      <w:proofErr w:type="spellEnd"/>
      <w:r w:rsidRPr="007D6832">
        <w:rPr>
          <w:i/>
          <w:iCs/>
          <w:sz w:val="24"/>
        </w:rPr>
        <w:t xml:space="preserve"> </w:t>
      </w:r>
      <w:proofErr w:type="spellStart"/>
      <w:r w:rsidRPr="007D6832">
        <w:rPr>
          <w:i/>
          <w:iCs/>
          <w:sz w:val="24"/>
        </w:rPr>
        <w:t>nejenom</w:t>
      </w:r>
      <w:proofErr w:type="spellEnd"/>
      <w:r w:rsidRPr="007D6832">
        <w:rPr>
          <w:i/>
          <w:iCs/>
          <w:sz w:val="24"/>
        </w:rPr>
        <w:t xml:space="preserve"> v </w:t>
      </w:r>
      <w:proofErr w:type="spellStart"/>
      <w:r w:rsidRPr="007D6832">
        <w:rPr>
          <w:i/>
          <w:iCs/>
          <w:sz w:val="24"/>
        </w:rPr>
        <w:t>právech</w:t>
      </w:r>
      <w:proofErr w:type="spellEnd"/>
      <w:r w:rsidRPr="007D6832">
        <w:rPr>
          <w:i/>
          <w:iCs/>
          <w:sz w:val="24"/>
        </w:rPr>
        <w:t xml:space="preserve"> </w:t>
      </w:r>
      <w:proofErr w:type="spellStart"/>
      <w:r w:rsidRPr="007D6832">
        <w:rPr>
          <w:i/>
          <w:iCs/>
          <w:sz w:val="24"/>
        </w:rPr>
        <w:t>subjektů</w:t>
      </w:r>
      <w:proofErr w:type="spellEnd"/>
      <w:r w:rsidRPr="007D6832">
        <w:rPr>
          <w:i/>
          <w:iCs/>
          <w:sz w:val="24"/>
        </w:rPr>
        <w:t xml:space="preserve">, na </w:t>
      </w:r>
      <w:proofErr w:type="spellStart"/>
      <w:r w:rsidRPr="007D6832">
        <w:rPr>
          <w:i/>
          <w:iCs/>
          <w:sz w:val="24"/>
        </w:rPr>
        <w:t>které</w:t>
      </w:r>
      <w:proofErr w:type="spellEnd"/>
      <w:r w:rsidRPr="007D6832">
        <w:rPr>
          <w:i/>
          <w:iCs/>
          <w:sz w:val="24"/>
        </w:rPr>
        <w:t xml:space="preserve"> </w:t>
      </w:r>
      <w:proofErr w:type="spellStart"/>
      <w:r w:rsidRPr="007D6832">
        <w:rPr>
          <w:i/>
          <w:iCs/>
          <w:sz w:val="24"/>
        </w:rPr>
        <w:t>se</w:t>
      </w:r>
      <w:proofErr w:type="spellEnd"/>
      <w:r w:rsidRPr="007D6832">
        <w:rPr>
          <w:i/>
          <w:iCs/>
          <w:sz w:val="24"/>
        </w:rPr>
        <w:t xml:space="preserve"> </w:t>
      </w:r>
      <w:proofErr w:type="spellStart"/>
      <w:r w:rsidRPr="007D6832">
        <w:rPr>
          <w:i/>
          <w:iCs/>
          <w:sz w:val="24"/>
        </w:rPr>
        <w:t>vztahoval</w:t>
      </w:r>
      <w:proofErr w:type="spellEnd"/>
      <w:r w:rsidRPr="007D6832">
        <w:rPr>
          <w:i/>
          <w:iCs/>
          <w:sz w:val="24"/>
        </w:rPr>
        <w:t xml:space="preserve"> režim § 879c až 879e </w:t>
      </w:r>
      <w:proofErr w:type="spellStart"/>
      <w:r w:rsidRPr="007D6832">
        <w:rPr>
          <w:i/>
          <w:iCs/>
          <w:sz w:val="24"/>
        </w:rPr>
        <w:t>ObčZ</w:t>
      </w:r>
      <w:proofErr w:type="spellEnd"/>
      <w:r w:rsidRPr="007D6832">
        <w:rPr>
          <w:i/>
          <w:iCs/>
          <w:sz w:val="24"/>
        </w:rPr>
        <w:t xml:space="preserve">, ale i u práv </w:t>
      </w:r>
      <w:proofErr w:type="spellStart"/>
      <w:r w:rsidRPr="007D6832">
        <w:rPr>
          <w:i/>
          <w:iCs/>
          <w:sz w:val="24"/>
        </w:rPr>
        <w:t>třetích</w:t>
      </w:r>
      <w:proofErr w:type="spellEnd"/>
      <w:r w:rsidRPr="007D6832">
        <w:rPr>
          <w:i/>
          <w:iCs/>
          <w:sz w:val="24"/>
        </w:rPr>
        <w:t xml:space="preserve"> </w:t>
      </w:r>
      <w:proofErr w:type="spellStart"/>
      <w:r w:rsidRPr="007D6832">
        <w:rPr>
          <w:i/>
          <w:iCs/>
          <w:sz w:val="24"/>
        </w:rPr>
        <w:t>osob</w:t>
      </w:r>
      <w:proofErr w:type="spellEnd"/>
      <w:r w:rsidRPr="007D6832">
        <w:rPr>
          <w:i/>
          <w:iCs/>
          <w:sz w:val="24"/>
        </w:rPr>
        <w:t xml:space="preserve">. </w:t>
      </w:r>
      <w:proofErr w:type="spellStart"/>
      <w:r w:rsidRPr="007D6832">
        <w:rPr>
          <w:i/>
          <w:iCs/>
          <w:sz w:val="24"/>
        </w:rPr>
        <w:t>Proto</w:t>
      </w:r>
      <w:proofErr w:type="spellEnd"/>
      <w:r w:rsidRPr="007D6832">
        <w:rPr>
          <w:i/>
          <w:iCs/>
          <w:sz w:val="24"/>
        </w:rPr>
        <w:t xml:space="preserve"> Ústavní </w:t>
      </w:r>
      <w:proofErr w:type="spellStart"/>
      <w:r w:rsidRPr="007D6832">
        <w:rPr>
          <w:i/>
          <w:iCs/>
          <w:sz w:val="24"/>
        </w:rPr>
        <w:t>soud</w:t>
      </w:r>
      <w:proofErr w:type="spellEnd"/>
      <w:r w:rsidRPr="007D6832">
        <w:rPr>
          <w:i/>
          <w:iCs/>
          <w:sz w:val="24"/>
        </w:rPr>
        <w:t xml:space="preserve"> odložil </w:t>
      </w:r>
      <w:proofErr w:type="spellStart"/>
      <w:r w:rsidRPr="007D6832">
        <w:rPr>
          <w:i/>
          <w:iCs/>
          <w:sz w:val="24"/>
        </w:rPr>
        <w:t>účinnost</w:t>
      </w:r>
      <w:proofErr w:type="spellEnd"/>
      <w:r w:rsidRPr="007D6832">
        <w:rPr>
          <w:i/>
          <w:iCs/>
          <w:sz w:val="24"/>
        </w:rPr>
        <w:t xml:space="preserve"> zrušení </w:t>
      </w:r>
      <w:proofErr w:type="spellStart"/>
      <w:r w:rsidRPr="007D6832">
        <w:rPr>
          <w:i/>
          <w:iCs/>
          <w:sz w:val="24"/>
        </w:rPr>
        <w:t>napadeného</w:t>
      </w:r>
      <w:proofErr w:type="spellEnd"/>
      <w:r w:rsidRPr="007D6832">
        <w:rPr>
          <w:i/>
          <w:iCs/>
          <w:sz w:val="24"/>
        </w:rPr>
        <w:t xml:space="preserve"> ustanovení zákona č. 229/2001 </w:t>
      </w:r>
      <w:proofErr w:type="spellStart"/>
      <w:r w:rsidRPr="007D6832">
        <w:rPr>
          <w:i/>
          <w:iCs/>
          <w:sz w:val="24"/>
        </w:rPr>
        <w:t>Sb</w:t>
      </w:r>
      <w:proofErr w:type="spellEnd"/>
      <w:r w:rsidRPr="007D6832">
        <w:rPr>
          <w:i/>
          <w:iCs/>
          <w:sz w:val="24"/>
        </w:rPr>
        <w:t xml:space="preserve">. do 31. </w:t>
      </w:r>
      <w:proofErr w:type="spellStart"/>
      <w:r w:rsidRPr="007D6832">
        <w:rPr>
          <w:i/>
          <w:iCs/>
          <w:sz w:val="24"/>
        </w:rPr>
        <w:t>prosince</w:t>
      </w:r>
      <w:proofErr w:type="spellEnd"/>
      <w:r w:rsidRPr="007D6832">
        <w:rPr>
          <w:i/>
          <w:iCs/>
          <w:sz w:val="24"/>
        </w:rPr>
        <w:t xml:space="preserve"> 2004, aby tak </w:t>
      </w:r>
      <w:proofErr w:type="spellStart"/>
      <w:r w:rsidRPr="007D6832">
        <w:rPr>
          <w:i/>
          <w:iCs/>
          <w:sz w:val="24"/>
        </w:rPr>
        <w:t>poskytl</w:t>
      </w:r>
      <w:proofErr w:type="spellEnd"/>
      <w:r w:rsidRPr="007D6832">
        <w:rPr>
          <w:i/>
          <w:iCs/>
          <w:sz w:val="24"/>
        </w:rPr>
        <w:t xml:space="preserve"> Parlamentu České republiky </w:t>
      </w:r>
      <w:proofErr w:type="spellStart"/>
      <w:r w:rsidRPr="007D6832">
        <w:rPr>
          <w:i/>
          <w:iCs/>
          <w:sz w:val="24"/>
        </w:rPr>
        <w:t>dostatečně</w:t>
      </w:r>
      <w:proofErr w:type="spellEnd"/>
      <w:r w:rsidRPr="007D6832">
        <w:rPr>
          <w:i/>
          <w:iCs/>
          <w:sz w:val="24"/>
        </w:rPr>
        <w:t xml:space="preserve"> </w:t>
      </w:r>
      <w:proofErr w:type="spellStart"/>
      <w:r w:rsidRPr="007D6832">
        <w:rPr>
          <w:i/>
          <w:iCs/>
          <w:sz w:val="24"/>
        </w:rPr>
        <w:t>dlouhou</w:t>
      </w:r>
      <w:proofErr w:type="spellEnd"/>
      <w:r w:rsidRPr="007D6832">
        <w:rPr>
          <w:i/>
          <w:iCs/>
          <w:sz w:val="24"/>
        </w:rPr>
        <w:t xml:space="preserve"> dobu k </w:t>
      </w:r>
      <w:proofErr w:type="spellStart"/>
      <w:r w:rsidRPr="007D6832">
        <w:rPr>
          <w:i/>
          <w:iCs/>
          <w:sz w:val="24"/>
        </w:rPr>
        <w:t>přijetí</w:t>
      </w:r>
      <w:proofErr w:type="spellEnd"/>
      <w:r w:rsidRPr="007D6832">
        <w:rPr>
          <w:i/>
          <w:iCs/>
          <w:sz w:val="24"/>
        </w:rPr>
        <w:t xml:space="preserve"> </w:t>
      </w:r>
      <w:proofErr w:type="spellStart"/>
      <w:r w:rsidRPr="007D6832">
        <w:rPr>
          <w:i/>
          <w:iCs/>
          <w:sz w:val="24"/>
        </w:rPr>
        <w:t>přiměřené</w:t>
      </w:r>
      <w:proofErr w:type="spellEnd"/>
      <w:r w:rsidRPr="007D6832">
        <w:rPr>
          <w:i/>
          <w:iCs/>
          <w:sz w:val="24"/>
        </w:rPr>
        <w:t xml:space="preserve"> </w:t>
      </w:r>
      <w:proofErr w:type="spellStart"/>
      <w:r w:rsidRPr="007D6832">
        <w:rPr>
          <w:i/>
          <w:iCs/>
          <w:sz w:val="24"/>
        </w:rPr>
        <w:t>právní</w:t>
      </w:r>
      <w:proofErr w:type="spellEnd"/>
      <w:r w:rsidRPr="007D6832">
        <w:rPr>
          <w:i/>
          <w:iCs/>
          <w:sz w:val="24"/>
        </w:rPr>
        <w:t xml:space="preserve"> úpravy.“.</w:t>
      </w:r>
    </w:p>
    <w:p w:rsidR="004D2920" w:rsidRPr="007D6832" w:rsidRDefault="004D2920" w:rsidP="004D2920">
      <w:pPr>
        <w:pStyle w:val="Textpoznpodarou"/>
        <w:rPr>
          <w:sz w:val="24"/>
          <w:szCs w:val="24"/>
        </w:rPr>
      </w:pPr>
      <w:r w:rsidRPr="007D6832">
        <w:rPr>
          <w:sz w:val="24"/>
          <w:szCs w:val="24"/>
        </w:rPr>
        <w:t>Zde je však nutno říci, že právní praxe údajné Ústavním soudem tvrzené oživení původního znění § 324 trestního řádu po zrušení derogační změny zákonem č. 292/1993 Sb. neakceptovala. To dokládají i časové změny § 324 trestního řádu v ASPI. Zákonodárce urychleně přijal nové znění § 324 zákonem č. 152/1995 Sb. Pokud by platila slova Ústavního soudu o obživnutí původního znění § 324 trestního řádu, nebylo by to nutné.</w:t>
      </w:r>
    </w:p>
    <w:p w:rsidR="00E44FD3" w:rsidRPr="00E44FD3" w:rsidRDefault="004D2920" w:rsidP="00BF2A57">
      <w:pPr>
        <w:pStyle w:val="Odstavecseseznamem"/>
        <w:numPr>
          <w:ilvl w:val="2"/>
          <w:numId w:val="1"/>
        </w:numPr>
        <w:spacing w:before="120"/>
        <w:rPr>
          <w:b/>
        </w:rPr>
      </w:pPr>
      <w:r w:rsidRPr="00E44FD3">
        <w:rPr>
          <w:b/>
        </w:rPr>
        <w:t>Zákon o úsporných opatřeních</w:t>
      </w:r>
    </w:p>
    <w:p w:rsidR="00E44FD3" w:rsidRPr="007D6832" w:rsidRDefault="004D2920" w:rsidP="004D2920">
      <w:pPr>
        <w:spacing w:before="120"/>
        <w:jc w:val="both"/>
      </w:pPr>
      <w:r w:rsidRPr="007D6832">
        <w:t>Ústavní soud v Brně ve svém nálezu, jehož vykonatelnost odložil a kterým rušil zákon</w:t>
      </w:r>
      <w:r w:rsidRPr="007D6832">
        <w:rPr>
          <w:bCs/>
        </w:rPr>
        <w:t xml:space="preserve"> č. 347/2010 Sb., kterým se mění některé zákony v souvislosti s úspornými opatřeními v působnosti Ministerstva práce a sociálních věcí</w:t>
      </w:r>
      <w:r w:rsidRPr="007D6832">
        <w:t xml:space="preserve">, jenž sám novelizoval jiný zákon, uvedl: </w:t>
      </w:r>
      <w:r w:rsidRPr="007D6832">
        <w:rPr>
          <w:i/>
        </w:rPr>
        <w:lastRenderedPageBreak/>
        <w:t>„…pokud nebude do okamžiku nabytí účinnosti derogačního výroku tohoto nálezu přijata nová úprava, obživne dnem 1. ledna 2012 úprava obsažená v právním řádu přede dnem účinnosti zákona č. 347/2010 Sb., zrušeného tímto nálezem.“.</w:t>
      </w:r>
      <w:r w:rsidRPr="007D6832">
        <w:rPr>
          <w:rStyle w:val="Znakapoznpodarou"/>
          <w:i/>
        </w:rPr>
        <w:footnoteReference w:id="22"/>
      </w:r>
      <w:r w:rsidRPr="007D6832">
        <w:rPr>
          <w:i/>
        </w:rPr>
        <w:t xml:space="preserve"> </w:t>
      </w:r>
      <w:r w:rsidRPr="007D6832">
        <w:t>V daném případě zákonodárce přijal novou úpravu,</w:t>
      </w:r>
      <w:r w:rsidRPr="007D6832">
        <w:rPr>
          <w:rStyle w:val="Znakapoznpodarou"/>
        </w:rPr>
        <w:footnoteReference w:id="23"/>
      </w:r>
      <w:r w:rsidRPr="007D6832">
        <w:t xml:space="preserve"> </w:t>
      </w:r>
      <w:r w:rsidR="00E44FD3">
        <w:t>tedy nenastalo žádné obživnutí.</w:t>
      </w:r>
    </w:p>
    <w:p w:rsidR="00E44FD3" w:rsidRPr="00E44FD3" w:rsidRDefault="004D2920" w:rsidP="00BF2A57">
      <w:pPr>
        <w:pStyle w:val="Odstavecseseznamem"/>
        <w:numPr>
          <w:ilvl w:val="2"/>
          <w:numId w:val="1"/>
        </w:numPr>
        <w:spacing w:before="120"/>
        <w:rPr>
          <w:b/>
        </w:rPr>
      </w:pPr>
      <w:r w:rsidRPr="00E44FD3">
        <w:rPr>
          <w:b/>
        </w:rPr>
        <w:t>Zákon o střetu zájmů</w:t>
      </w:r>
    </w:p>
    <w:p w:rsidR="004D2920" w:rsidRPr="007D6832" w:rsidRDefault="004D2920" w:rsidP="004D2920">
      <w:pPr>
        <w:pStyle w:val="Textpoznpodarou"/>
        <w:rPr>
          <w:sz w:val="24"/>
          <w:szCs w:val="24"/>
        </w:rPr>
      </w:pPr>
      <w:r w:rsidRPr="007D6832">
        <w:rPr>
          <w:sz w:val="24"/>
          <w:szCs w:val="24"/>
        </w:rPr>
        <w:t>Nálezem Ústavního soudu č. 283/2005 Sb. ve věci zrušení zákona č. 96/2005 Sb. novelizující zákon o střetu zájmů byl tento zákon zrušen. Důvodem zrušení bylo, že novela podle názoru Ústavního soudu měla být dle čl. 40 Ústavy č. 1/1993 Sb. přijata i Senátem jako volební zákon, neboť obsahovala i změnu zákona o volbách do zastupitelstev obcí. Ústavní soud neminimalizoval řešení věci právě jen na zrušení části týkající se změny volebního zákona, ale maximalisticky zrušil celý zákon. Původní zákon o střetu zájmů se stal z větší části nepoužitelný, protože ani Ústavní soud ani právní praxe nekonstatovaly obživnutí předchozího znění zákona o střetu zájmů.</w:t>
      </w:r>
    </w:p>
    <w:p w:rsidR="00E44FD3" w:rsidRPr="00E44FD3" w:rsidRDefault="004D2920" w:rsidP="00BF2A57">
      <w:pPr>
        <w:pStyle w:val="Odstavecseseznamem"/>
        <w:keepNext/>
        <w:numPr>
          <w:ilvl w:val="2"/>
          <w:numId w:val="1"/>
        </w:numPr>
        <w:spacing w:before="120"/>
        <w:rPr>
          <w:b/>
        </w:rPr>
      </w:pPr>
      <w:r w:rsidRPr="00E44FD3">
        <w:rPr>
          <w:b/>
        </w:rPr>
        <w:t>Platový zákon</w:t>
      </w:r>
    </w:p>
    <w:p w:rsidR="004D2920" w:rsidRPr="007D6832" w:rsidRDefault="004D2920" w:rsidP="004D2920">
      <w:pPr>
        <w:spacing w:before="120"/>
        <w:jc w:val="both"/>
      </w:pPr>
      <w:r w:rsidRPr="007D6832">
        <w:t>Nálezem Ústavního soudu č. 181/2012 Sb. bylo zrušeno snížení platové základny pro ústavní činitele a soudce z </w:t>
      </w:r>
      <w:r w:rsidR="00E44FD3">
        <w:t>troj</w:t>
      </w:r>
      <w:r w:rsidRPr="007D6832">
        <w:t>násobku průměrného příjmu v </w:t>
      </w:r>
      <w:proofErr w:type="spellStart"/>
      <w:r w:rsidRPr="007D6832">
        <w:t>nepodnikatelské</w:t>
      </w:r>
      <w:proofErr w:type="spellEnd"/>
      <w:r w:rsidRPr="007D6832">
        <w:t xml:space="preserve"> sféře na 2,5násobek.</w:t>
      </w:r>
      <w:r w:rsidRPr="007D6832">
        <w:rPr>
          <w:rStyle w:val="Znakapoznpodarou"/>
        </w:rPr>
        <w:footnoteReference w:id="24"/>
      </w:r>
      <w:r w:rsidRPr="007D6832">
        <w:t xml:space="preserve"> Ústavní soud však nekonstatoval obživnutí původního 3násobku a odložil vykonatelnost do konce roku 2012. Navíc předseda Ústavního soudu Pavel Rychetský veřejně vyjádřil, že Ústavní soud nestanovil, jaká výše platové základny má být: </w:t>
      </w:r>
      <w:r w:rsidRPr="007D6832">
        <w:rPr>
          <w:i/>
          <w:color w:val="000000"/>
        </w:rPr>
        <w:t>„Uznávám, že náš nález vytvořil zákonodárcům šibeniční termín, ale do konce roku musí vyřešit platové otázky soudců obecných soudů, protože jinak by neměli soudci od 1. ledna žádný plat, a to je nepřijatelná situace.“</w:t>
      </w:r>
      <w:r w:rsidRPr="007D6832">
        <w:rPr>
          <w:rStyle w:val="Znakapoznpodarou"/>
          <w:i/>
          <w:color w:val="000000"/>
        </w:rPr>
        <w:footnoteReference w:id="25"/>
      </w:r>
      <w:r w:rsidRPr="007D6832">
        <w:rPr>
          <w:color w:val="000000"/>
        </w:rPr>
        <w:t xml:space="preserve"> </w:t>
      </w:r>
      <w:r w:rsidRPr="007D6832">
        <w:t>Pokud by platila zásada obživnutí původní úpravy, došlo by k 1. 1. 2013 automaticky oživení původní úpravy. Její výše by byla zřejmá již v době vydání nálezu a fakticky stanovena Ústavním soudem. Vláda rovněž nestála na stanovisku obživnutí původní úpravy a navrhla novelu platového zákona.</w:t>
      </w:r>
      <w:r>
        <w:t xml:space="preserve"> Poslanci sice původní vládní návrh nepřijali, ale následně ve stavu legislativní nouze byl schválen urychleně do konce roku 2012 zákon, který platovou základnu stanovil na 2,75násobek. Vláda výslovně v důvodové zprávě uvedla, že po 31. 12. 2012 by se dané ustanovení zákona </w:t>
      </w:r>
      <w:r w:rsidRPr="0071370B">
        <w:rPr>
          <w:i/>
        </w:rPr>
        <w:t>„stalo neaplikovatelným“,</w:t>
      </w:r>
      <w:r w:rsidRPr="0071370B">
        <w:rPr>
          <w:rStyle w:val="Znakapoznpodarou"/>
          <w:i/>
        </w:rPr>
        <w:footnoteReference w:id="26"/>
      </w:r>
      <w:r>
        <w:t xml:space="preserve"> tedy vláda nestála na stanovisku obživnutí předchozí právní úpravy.</w:t>
      </w:r>
    </w:p>
    <w:p w:rsidR="004D2920" w:rsidRPr="00FA7E7A" w:rsidRDefault="00E44FD3" w:rsidP="00BF2A57">
      <w:pPr>
        <w:pStyle w:val="Odstavecseseznamem"/>
        <w:numPr>
          <w:ilvl w:val="2"/>
          <w:numId w:val="1"/>
        </w:numPr>
        <w:spacing w:before="120"/>
        <w:jc w:val="both"/>
        <w:rPr>
          <w:b/>
        </w:rPr>
      </w:pPr>
      <w:r w:rsidRPr="00FA7E7A">
        <w:rPr>
          <w:b/>
        </w:rPr>
        <w:t>Slovenský exkurz</w:t>
      </w:r>
    </w:p>
    <w:p w:rsidR="004D2920" w:rsidRPr="007D6832" w:rsidRDefault="004D2920" w:rsidP="004D2920">
      <w:pPr>
        <w:spacing w:before="120"/>
        <w:jc w:val="both"/>
      </w:pPr>
      <w:r w:rsidRPr="007D6832">
        <w:t>Na Slovensku je účinek zrušení právního předpisu na j</w:t>
      </w:r>
      <w:r w:rsidR="003710A1">
        <w:t>í</w:t>
      </w:r>
      <w:r w:rsidRPr="007D6832">
        <w:t xml:space="preserve">m rušené či měněné zákony upraven přímo zákonem o Ústavním soudu. Podle něj ztrátou účinnosti či platnosti právního předpisu </w:t>
      </w:r>
      <w:r w:rsidRPr="007D6832">
        <w:lastRenderedPageBreak/>
        <w:t>na základě nálezu Ústavního soudu se neobnovuje platnost právních předpisů, které byly zrušeny předpisem zrušeným slovenským Ústavním soudem. Pokud však šlo o změnu či doplnění, platí měněný právní předpis ve znění před změnou zrušeným právním předpisem.</w:t>
      </w:r>
      <w:r w:rsidRPr="007D6832">
        <w:rPr>
          <w:rStyle w:val="Znakapoznpodarou"/>
        </w:rPr>
        <w:footnoteReference w:id="27"/>
      </w:r>
      <w:r w:rsidRPr="007D6832">
        <w:t xml:space="preserve"> Řešení je tedy dáno zákonnou direktivou.</w:t>
      </w:r>
    </w:p>
    <w:p w:rsidR="00F67DD0" w:rsidRDefault="004D2920" w:rsidP="004D2920">
      <w:pPr>
        <w:spacing w:before="120"/>
        <w:jc w:val="both"/>
      </w:pPr>
      <w:r w:rsidRPr="007D6832">
        <w:t>Na Slovensku se objevil problém, zda je možné zrušené ustanovení oživit zrušením derogačního ustanovení. Stalo se tak v případě, kdy Ústavní soud přijal návrh prvního náměstka generálního prokurátora</w:t>
      </w:r>
      <w:r w:rsidRPr="007D6832">
        <w:rPr>
          <w:rStyle w:val="Znakapoznpodarou"/>
        </w:rPr>
        <w:footnoteReference w:id="28"/>
      </w:r>
      <w:r w:rsidRPr="007D6832">
        <w:t xml:space="preserve"> na zrušení zákona,</w:t>
      </w:r>
      <w:r w:rsidRPr="007D6832">
        <w:rPr>
          <w:rStyle w:val="Znakapoznpodarou"/>
        </w:rPr>
        <w:footnoteReference w:id="29"/>
      </w:r>
      <w:r w:rsidRPr="007D6832">
        <w:t xml:space="preserve"> kterým byl novelizován zákon o soudech. Navrhovatel navrhl přezkoumat mimo jiné zrušení § 85 zákona o soudech a soudcích, které zajišťovalo automatické zvýšení platů soudců v závislosti na růst</w:t>
      </w:r>
      <w:r w:rsidR="003710A1">
        <w:t>u</w:t>
      </w:r>
      <w:r w:rsidRPr="007D6832">
        <w:t xml:space="preserve"> platů v národním hospodářství. Toto ustanovení z právního řádu bylo vypuštěno bez náhrady. Je otázkou, zda může Ústavní soud oživit původní právní úpravu, když nová právní úprava z předpisu posuzovaného Ústavním soudem nemůže být sama o sobě neústavní, protože původní znění nebylo nahrazeno novou pozitivní úpravou, při jejímž posuzování by mohla být konstatována neústavnost. Původní ustanovení bylo nahrazeno N</w:t>
      </w:r>
      <w:r w:rsidR="00F67DD0">
        <w:t>IČÍM. NIC nemá obsah a kvalitu.</w:t>
      </w:r>
    </w:p>
    <w:p w:rsidR="004D2920" w:rsidRPr="007D6832" w:rsidRDefault="004D2920" w:rsidP="004D2920">
      <w:pPr>
        <w:spacing w:before="120"/>
        <w:jc w:val="both"/>
      </w:pPr>
      <w:r w:rsidRPr="007D6832">
        <w:t xml:space="preserve">Usnesení Ústavního soudu SR z 21. 9. 2011, </w:t>
      </w:r>
      <w:proofErr w:type="spellStart"/>
      <w:proofErr w:type="gramStart"/>
      <w:r w:rsidRPr="007D6832">
        <w:t>Pl.ÚS</w:t>
      </w:r>
      <w:proofErr w:type="spellEnd"/>
      <w:proofErr w:type="gramEnd"/>
      <w:r w:rsidRPr="007D6832">
        <w:t xml:space="preserve"> 103/2011: </w:t>
      </w:r>
      <w:r w:rsidRPr="007D6832">
        <w:rPr>
          <w:i/>
        </w:rPr>
        <w:t>„</w:t>
      </w:r>
      <w:proofErr w:type="spellStart"/>
      <w:r w:rsidRPr="007D6832">
        <w:rPr>
          <w:i/>
        </w:rPr>
        <w:t>Pri</w:t>
      </w:r>
      <w:proofErr w:type="spellEnd"/>
      <w:r w:rsidRPr="007D6832">
        <w:rPr>
          <w:i/>
        </w:rPr>
        <w:t xml:space="preserve"> </w:t>
      </w:r>
      <w:proofErr w:type="spellStart"/>
      <w:r w:rsidRPr="007D6832">
        <w:rPr>
          <w:i/>
        </w:rPr>
        <w:t>bežnom</w:t>
      </w:r>
      <w:proofErr w:type="spellEnd"/>
      <w:r w:rsidRPr="007D6832">
        <w:rPr>
          <w:i/>
        </w:rPr>
        <w:t xml:space="preserve"> </w:t>
      </w:r>
      <w:proofErr w:type="spellStart"/>
      <w:r w:rsidRPr="007D6832">
        <w:rPr>
          <w:i/>
        </w:rPr>
        <w:t>prieskume</w:t>
      </w:r>
      <w:proofErr w:type="spellEnd"/>
      <w:r w:rsidRPr="007D6832">
        <w:rPr>
          <w:i/>
        </w:rPr>
        <w:t xml:space="preserve"> </w:t>
      </w:r>
      <w:proofErr w:type="spellStart"/>
      <w:r w:rsidRPr="007D6832">
        <w:rPr>
          <w:i/>
        </w:rPr>
        <w:t>noriem</w:t>
      </w:r>
      <w:proofErr w:type="spellEnd"/>
      <w:r w:rsidRPr="007D6832">
        <w:rPr>
          <w:i/>
        </w:rPr>
        <w:t xml:space="preserve"> </w:t>
      </w:r>
      <w:proofErr w:type="spellStart"/>
      <w:r w:rsidRPr="007D6832">
        <w:rPr>
          <w:i/>
        </w:rPr>
        <w:t>môže</w:t>
      </w:r>
      <w:proofErr w:type="spellEnd"/>
      <w:r w:rsidRPr="007D6832">
        <w:rPr>
          <w:i/>
        </w:rPr>
        <w:t xml:space="preserve"> byť </w:t>
      </w:r>
      <w:proofErr w:type="spellStart"/>
      <w:r w:rsidRPr="007D6832">
        <w:rPr>
          <w:i/>
        </w:rPr>
        <w:t>oživenie</w:t>
      </w:r>
      <w:proofErr w:type="spellEnd"/>
      <w:r w:rsidRPr="007D6832">
        <w:rPr>
          <w:i/>
        </w:rPr>
        <w:t xml:space="preserve"> ex offo v </w:t>
      </w:r>
      <w:proofErr w:type="gramStart"/>
      <w:r w:rsidRPr="007D6832">
        <w:rPr>
          <w:i/>
        </w:rPr>
        <w:t>režime</w:t>
      </w:r>
      <w:proofErr w:type="gramEnd"/>
      <w:r w:rsidRPr="007D6832">
        <w:rPr>
          <w:i/>
        </w:rPr>
        <w:t xml:space="preserve"> § 41a </w:t>
      </w:r>
      <w:proofErr w:type="spellStart"/>
      <w:r w:rsidRPr="007D6832">
        <w:rPr>
          <w:i/>
        </w:rPr>
        <w:t>ods</w:t>
      </w:r>
      <w:proofErr w:type="spellEnd"/>
      <w:r w:rsidRPr="007D6832">
        <w:rPr>
          <w:i/>
        </w:rPr>
        <w:t xml:space="preserve">. 3 zákona o </w:t>
      </w:r>
      <w:proofErr w:type="spellStart"/>
      <w:r w:rsidRPr="007D6832">
        <w:rPr>
          <w:i/>
        </w:rPr>
        <w:t>ústavnom</w:t>
      </w:r>
      <w:proofErr w:type="spellEnd"/>
      <w:r w:rsidRPr="007D6832">
        <w:rPr>
          <w:i/>
        </w:rPr>
        <w:t xml:space="preserve"> </w:t>
      </w:r>
      <w:proofErr w:type="spellStart"/>
      <w:r w:rsidRPr="007D6832">
        <w:rPr>
          <w:i/>
        </w:rPr>
        <w:t>súde</w:t>
      </w:r>
      <w:proofErr w:type="spellEnd"/>
      <w:r w:rsidRPr="007D6832">
        <w:rPr>
          <w:i/>
        </w:rPr>
        <w:t xml:space="preserve"> problematické, </w:t>
      </w:r>
      <w:proofErr w:type="spellStart"/>
      <w:r w:rsidRPr="007D6832">
        <w:rPr>
          <w:i/>
        </w:rPr>
        <w:t>pretože</w:t>
      </w:r>
      <w:proofErr w:type="spellEnd"/>
      <w:r w:rsidRPr="007D6832">
        <w:rPr>
          <w:i/>
        </w:rPr>
        <w:t xml:space="preserve"> </w:t>
      </w:r>
      <w:proofErr w:type="spellStart"/>
      <w:r w:rsidRPr="007D6832">
        <w:rPr>
          <w:i/>
        </w:rPr>
        <w:t>dochádza</w:t>
      </w:r>
      <w:proofErr w:type="spellEnd"/>
      <w:r w:rsidRPr="007D6832">
        <w:rPr>
          <w:i/>
        </w:rPr>
        <w:t xml:space="preserve"> k </w:t>
      </w:r>
      <w:proofErr w:type="spellStart"/>
      <w:r w:rsidRPr="007D6832">
        <w:rPr>
          <w:i/>
        </w:rPr>
        <w:t>oživeniu</w:t>
      </w:r>
      <w:proofErr w:type="spellEnd"/>
      <w:r w:rsidRPr="007D6832">
        <w:rPr>
          <w:i/>
        </w:rPr>
        <w:t xml:space="preserve"> normy, </w:t>
      </w:r>
      <w:proofErr w:type="spellStart"/>
      <w:r w:rsidRPr="007D6832">
        <w:rPr>
          <w:i/>
        </w:rPr>
        <w:t>ktorá</w:t>
      </w:r>
      <w:proofErr w:type="spellEnd"/>
      <w:r w:rsidRPr="007D6832">
        <w:rPr>
          <w:i/>
        </w:rPr>
        <w:t xml:space="preserve"> </w:t>
      </w:r>
      <w:proofErr w:type="spellStart"/>
      <w:r w:rsidRPr="007D6832">
        <w:rPr>
          <w:i/>
        </w:rPr>
        <w:t>predchádzala</w:t>
      </w:r>
      <w:proofErr w:type="spellEnd"/>
      <w:r w:rsidRPr="007D6832">
        <w:rPr>
          <w:i/>
        </w:rPr>
        <w:t xml:space="preserve"> (!) </w:t>
      </w:r>
      <w:proofErr w:type="spellStart"/>
      <w:r w:rsidRPr="007D6832">
        <w:rPr>
          <w:i/>
        </w:rPr>
        <w:t>preskúmavanej</w:t>
      </w:r>
      <w:proofErr w:type="spellEnd"/>
      <w:r w:rsidRPr="007D6832">
        <w:rPr>
          <w:i/>
        </w:rPr>
        <w:t xml:space="preserve"> </w:t>
      </w:r>
      <w:proofErr w:type="spellStart"/>
      <w:r w:rsidRPr="007D6832">
        <w:rPr>
          <w:i/>
        </w:rPr>
        <w:t>norme</w:t>
      </w:r>
      <w:proofErr w:type="spellEnd"/>
      <w:r w:rsidRPr="007D6832">
        <w:rPr>
          <w:i/>
        </w:rPr>
        <w:t xml:space="preserve"> a </w:t>
      </w:r>
      <w:proofErr w:type="spellStart"/>
      <w:r w:rsidRPr="007D6832">
        <w:rPr>
          <w:i/>
        </w:rPr>
        <w:t>ktorá</w:t>
      </w:r>
      <w:proofErr w:type="spellEnd"/>
      <w:r w:rsidRPr="007D6832">
        <w:rPr>
          <w:i/>
        </w:rPr>
        <w:t xml:space="preserve"> bola </w:t>
      </w:r>
      <w:proofErr w:type="spellStart"/>
      <w:r w:rsidRPr="007D6832">
        <w:rPr>
          <w:i/>
        </w:rPr>
        <w:t>explicitne</w:t>
      </w:r>
      <w:proofErr w:type="spellEnd"/>
      <w:r w:rsidRPr="007D6832">
        <w:rPr>
          <w:i/>
        </w:rPr>
        <w:t xml:space="preserve"> </w:t>
      </w:r>
      <w:proofErr w:type="spellStart"/>
      <w:r w:rsidRPr="007D6832">
        <w:rPr>
          <w:i/>
        </w:rPr>
        <w:t>derogovaná</w:t>
      </w:r>
      <w:proofErr w:type="spellEnd"/>
      <w:r w:rsidRPr="007D6832">
        <w:rPr>
          <w:i/>
        </w:rPr>
        <w:t xml:space="preserve"> </w:t>
      </w:r>
      <w:proofErr w:type="spellStart"/>
      <w:r w:rsidRPr="007D6832">
        <w:rPr>
          <w:i/>
        </w:rPr>
        <w:t>zákonodarcom</w:t>
      </w:r>
      <w:proofErr w:type="spellEnd"/>
      <w:r w:rsidRPr="007D6832">
        <w:rPr>
          <w:i/>
        </w:rPr>
        <w:t xml:space="preserve">, </w:t>
      </w:r>
      <w:proofErr w:type="spellStart"/>
      <w:r w:rsidRPr="007D6832">
        <w:rPr>
          <w:i/>
        </w:rPr>
        <w:t>prípadne</w:t>
      </w:r>
      <w:proofErr w:type="spellEnd"/>
      <w:r w:rsidRPr="007D6832">
        <w:rPr>
          <w:i/>
        </w:rPr>
        <w:t xml:space="preserve"> </w:t>
      </w:r>
      <w:proofErr w:type="spellStart"/>
      <w:r w:rsidRPr="007D6832">
        <w:rPr>
          <w:i/>
        </w:rPr>
        <w:t>môže</w:t>
      </w:r>
      <w:proofErr w:type="spellEnd"/>
      <w:r w:rsidRPr="007D6832">
        <w:rPr>
          <w:i/>
        </w:rPr>
        <w:t xml:space="preserve"> </w:t>
      </w:r>
      <w:proofErr w:type="spellStart"/>
      <w:r w:rsidRPr="007D6832">
        <w:rPr>
          <w:i/>
        </w:rPr>
        <w:t>dôjsť</w:t>
      </w:r>
      <w:proofErr w:type="spellEnd"/>
      <w:r w:rsidRPr="007D6832">
        <w:rPr>
          <w:i/>
        </w:rPr>
        <w:t xml:space="preserve"> k </w:t>
      </w:r>
      <w:proofErr w:type="spellStart"/>
      <w:r w:rsidRPr="007D6832">
        <w:rPr>
          <w:i/>
        </w:rPr>
        <w:t>oživeniu</w:t>
      </w:r>
      <w:proofErr w:type="spellEnd"/>
      <w:r w:rsidRPr="007D6832">
        <w:rPr>
          <w:i/>
        </w:rPr>
        <w:t xml:space="preserve"> normy, </w:t>
      </w:r>
      <w:proofErr w:type="spellStart"/>
      <w:r w:rsidRPr="007D6832">
        <w:rPr>
          <w:i/>
        </w:rPr>
        <w:t>ktorá</w:t>
      </w:r>
      <w:proofErr w:type="spellEnd"/>
      <w:r w:rsidRPr="007D6832">
        <w:rPr>
          <w:i/>
        </w:rPr>
        <w:t xml:space="preserve"> je </w:t>
      </w:r>
      <w:proofErr w:type="spellStart"/>
      <w:r w:rsidRPr="007D6832">
        <w:rPr>
          <w:i/>
        </w:rPr>
        <w:t>tiež</w:t>
      </w:r>
      <w:proofErr w:type="spellEnd"/>
      <w:r w:rsidRPr="007D6832">
        <w:rPr>
          <w:i/>
        </w:rPr>
        <w:t xml:space="preserve"> </w:t>
      </w:r>
      <w:proofErr w:type="spellStart"/>
      <w:r w:rsidRPr="007D6832">
        <w:rPr>
          <w:i/>
        </w:rPr>
        <w:t>ústavnoprávne</w:t>
      </w:r>
      <w:proofErr w:type="spellEnd"/>
      <w:r w:rsidRPr="007D6832">
        <w:rPr>
          <w:i/>
        </w:rPr>
        <w:t xml:space="preserve"> sporná (</w:t>
      </w:r>
      <w:proofErr w:type="spellStart"/>
      <w:r w:rsidRPr="007D6832">
        <w:rPr>
          <w:i/>
        </w:rPr>
        <w:t>porov</w:t>
      </w:r>
      <w:proofErr w:type="spellEnd"/>
      <w:r w:rsidRPr="007D6832">
        <w:rPr>
          <w:i/>
        </w:rPr>
        <w:t xml:space="preserve">. </w:t>
      </w:r>
      <w:proofErr w:type="spellStart"/>
      <w:r w:rsidRPr="007D6832">
        <w:rPr>
          <w:i/>
        </w:rPr>
        <w:t>situáciu</w:t>
      </w:r>
      <w:proofErr w:type="spellEnd"/>
      <w:r w:rsidRPr="007D6832">
        <w:rPr>
          <w:i/>
        </w:rPr>
        <w:t xml:space="preserve"> v bode </w:t>
      </w:r>
      <w:proofErr w:type="gramStart"/>
      <w:r w:rsidRPr="007D6832">
        <w:rPr>
          <w:i/>
        </w:rPr>
        <w:t>II.1 nálezu</w:t>
      </w:r>
      <w:proofErr w:type="gramEnd"/>
      <w:r w:rsidRPr="007D6832">
        <w:rPr>
          <w:i/>
        </w:rPr>
        <w:t xml:space="preserve"> </w:t>
      </w:r>
      <w:proofErr w:type="spellStart"/>
      <w:r w:rsidRPr="007D6832">
        <w:rPr>
          <w:i/>
        </w:rPr>
        <w:t>sp</w:t>
      </w:r>
      <w:proofErr w:type="spellEnd"/>
      <w:r w:rsidRPr="007D6832">
        <w:rPr>
          <w:i/>
        </w:rPr>
        <w:t xml:space="preserve">. zn. PL. ÚS 10/04). </w:t>
      </w:r>
      <w:proofErr w:type="spellStart"/>
      <w:r w:rsidRPr="007D6832">
        <w:rPr>
          <w:i/>
        </w:rPr>
        <w:t>Ak</w:t>
      </w:r>
      <w:proofErr w:type="spellEnd"/>
      <w:r w:rsidRPr="007D6832">
        <w:rPr>
          <w:i/>
        </w:rPr>
        <w:t xml:space="preserve"> </w:t>
      </w:r>
      <w:proofErr w:type="spellStart"/>
      <w:r w:rsidRPr="007D6832">
        <w:rPr>
          <w:i/>
        </w:rPr>
        <w:t>môžu</w:t>
      </w:r>
      <w:proofErr w:type="spellEnd"/>
      <w:r w:rsidRPr="007D6832">
        <w:rPr>
          <w:i/>
        </w:rPr>
        <w:t xml:space="preserve"> byť </w:t>
      </w:r>
      <w:proofErr w:type="spellStart"/>
      <w:r w:rsidRPr="007D6832">
        <w:rPr>
          <w:i/>
        </w:rPr>
        <w:t>takéto</w:t>
      </w:r>
      <w:proofErr w:type="spellEnd"/>
      <w:r w:rsidRPr="007D6832">
        <w:rPr>
          <w:i/>
        </w:rPr>
        <w:t xml:space="preserve"> </w:t>
      </w:r>
      <w:proofErr w:type="spellStart"/>
      <w:r w:rsidRPr="007D6832">
        <w:rPr>
          <w:i/>
        </w:rPr>
        <w:t>nechcené</w:t>
      </w:r>
      <w:proofErr w:type="spellEnd"/>
      <w:r w:rsidRPr="007D6832">
        <w:rPr>
          <w:i/>
        </w:rPr>
        <w:t xml:space="preserve"> </w:t>
      </w:r>
      <w:proofErr w:type="spellStart"/>
      <w:r w:rsidRPr="007D6832">
        <w:rPr>
          <w:i/>
        </w:rPr>
        <w:t>oživenia</w:t>
      </w:r>
      <w:proofErr w:type="spellEnd"/>
      <w:r w:rsidRPr="007D6832">
        <w:rPr>
          <w:i/>
        </w:rPr>
        <w:t xml:space="preserve"> </w:t>
      </w:r>
      <w:proofErr w:type="spellStart"/>
      <w:r w:rsidRPr="007D6832">
        <w:rPr>
          <w:i/>
        </w:rPr>
        <w:t>problémom</w:t>
      </w:r>
      <w:proofErr w:type="spellEnd"/>
      <w:r w:rsidRPr="007D6832">
        <w:rPr>
          <w:i/>
        </w:rPr>
        <w:t xml:space="preserve">, tak </w:t>
      </w:r>
      <w:proofErr w:type="spellStart"/>
      <w:r w:rsidRPr="007D6832">
        <w:rPr>
          <w:i/>
        </w:rPr>
        <w:t>práve</w:t>
      </w:r>
      <w:proofErr w:type="spellEnd"/>
      <w:r w:rsidRPr="007D6832">
        <w:rPr>
          <w:i/>
        </w:rPr>
        <w:t xml:space="preserve"> </w:t>
      </w:r>
      <w:proofErr w:type="spellStart"/>
      <w:r w:rsidRPr="007D6832">
        <w:rPr>
          <w:i/>
        </w:rPr>
        <w:t>pri</w:t>
      </w:r>
      <w:proofErr w:type="spellEnd"/>
      <w:r w:rsidRPr="007D6832">
        <w:rPr>
          <w:i/>
        </w:rPr>
        <w:t xml:space="preserve"> </w:t>
      </w:r>
      <w:proofErr w:type="spellStart"/>
      <w:r w:rsidRPr="007D6832">
        <w:rPr>
          <w:i/>
        </w:rPr>
        <w:t>meritórnom</w:t>
      </w:r>
      <w:proofErr w:type="spellEnd"/>
      <w:r w:rsidRPr="007D6832">
        <w:rPr>
          <w:i/>
        </w:rPr>
        <w:t xml:space="preserve"> </w:t>
      </w:r>
      <w:proofErr w:type="spellStart"/>
      <w:r w:rsidRPr="007D6832">
        <w:rPr>
          <w:i/>
        </w:rPr>
        <w:t>prieskume</w:t>
      </w:r>
      <w:proofErr w:type="spellEnd"/>
      <w:r w:rsidRPr="007D6832">
        <w:rPr>
          <w:i/>
        </w:rPr>
        <w:t xml:space="preserve"> ústavnosti </w:t>
      </w:r>
      <w:proofErr w:type="spellStart"/>
      <w:r w:rsidRPr="007D6832">
        <w:rPr>
          <w:i/>
        </w:rPr>
        <w:t>derogačnej</w:t>
      </w:r>
      <w:proofErr w:type="spellEnd"/>
      <w:r w:rsidRPr="007D6832">
        <w:rPr>
          <w:i/>
        </w:rPr>
        <w:t xml:space="preserve"> </w:t>
      </w:r>
      <w:proofErr w:type="spellStart"/>
      <w:r w:rsidRPr="007D6832">
        <w:rPr>
          <w:i/>
        </w:rPr>
        <w:t>právnej</w:t>
      </w:r>
      <w:proofErr w:type="spellEnd"/>
      <w:r w:rsidRPr="007D6832">
        <w:rPr>
          <w:i/>
        </w:rPr>
        <w:t xml:space="preserve"> normy </w:t>
      </w:r>
      <w:proofErr w:type="spellStart"/>
      <w:r w:rsidRPr="007D6832">
        <w:rPr>
          <w:i/>
        </w:rPr>
        <w:t>môže</w:t>
      </w:r>
      <w:proofErr w:type="spellEnd"/>
      <w:r w:rsidRPr="007D6832">
        <w:rPr>
          <w:i/>
        </w:rPr>
        <w:t xml:space="preserve"> byť </w:t>
      </w:r>
      <w:proofErr w:type="spellStart"/>
      <w:r w:rsidRPr="007D6832">
        <w:rPr>
          <w:i/>
        </w:rPr>
        <w:t>oživenie</w:t>
      </w:r>
      <w:proofErr w:type="spellEnd"/>
      <w:r w:rsidRPr="007D6832">
        <w:rPr>
          <w:i/>
        </w:rPr>
        <w:t xml:space="preserve"> </w:t>
      </w:r>
      <w:proofErr w:type="spellStart"/>
      <w:r w:rsidRPr="007D6832">
        <w:rPr>
          <w:i/>
        </w:rPr>
        <w:t>cieľom</w:t>
      </w:r>
      <w:proofErr w:type="spellEnd"/>
      <w:r w:rsidRPr="007D6832">
        <w:rPr>
          <w:i/>
        </w:rPr>
        <w:t xml:space="preserve">, </w:t>
      </w:r>
      <w:proofErr w:type="spellStart"/>
      <w:r w:rsidRPr="007D6832">
        <w:rPr>
          <w:i/>
        </w:rPr>
        <w:t>môže</w:t>
      </w:r>
      <w:proofErr w:type="spellEnd"/>
      <w:r w:rsidRPr="007D6832">
        <w:rPr>
          <w:i/>
        </w:rPr>
        <w:t xml:space="preserve"> byť </w:t>
      </w:r>
      <w:proofErr w:type="spellStart"/>
      <w:r w:rsidRPr="007D6832">
        <w:rPr>
          <w:i/>
        </w:rPr>
        <w:t>chcené</w:t>
      </w:r>
      <w:proofErr w:type="spellEnd"/>
      <w:r w:rsidRPr="007D6832">
        <w:rPr>
          <w:i/>
        </w:rPr>
        <w:t xml:space="preserve">, </w:t>
      </w:r>
      <w:proofErr w:type="spellStart"/>
      <w:r w:rsidRPr="007D6832">
        <w:rPr>
          <w:i/>
        </w:rPr>
        <w:t>pretože</w:t>
      </w:r>
      <w:proofErr w:type="spellEnd"/>
      <w:r w:rsidRPr="007D6832">
        <w:rPr>
          <w:i/>
        </w:rPr>
        <w:t xml:space="preserve"> </w:t>
      </w:r>
      <w:proofErr w:type="spellStart"/>
      <w:r w:rsidRPr="007D6832">
        <w:rPr>
          <w:i/>
        </w:rPr>
        <w:t>práve</w:t>
      </w:r>
      <w:proofErr w:type="spellEnd"/>
      <w:r w:rsidRPr="007D6832">
        <w:rPr>
          <w:i/>
        </w:rPr>
        <w:t xml:space="preserve"> </w:t>
      </w:r>
      <w:proofErr w:type="spellStart"/>
      <w:r w:rsidRPr="007D6832">
        <w:rPr>
          <w:i/>
        </w:rPr>
        <w:t>legislatívna</w:t>
      </w:r>
      <w:proofErr w:type="spellEnd"/>
      <w:r w:rsidRPr="007D6832">
        <w:rPr>
          <w:i/>
        </w:rPr>
        <w:t xml:space="preserve"> </w:t>
      </w:r>
      <w:proofErr w:type="spellStart"/>
      <w:r w:rsidRPr="007D6832">
        <w:rPr>
          <w:i/>
        </w:rPr>
        <w:t>derogácia</w:t>
      </w:r>
      <w:proofErr w:type="spellEnd"/>
      <w:r w:rsidRPr="007D6832">
        <w:rPr>
          <w:i/>
        </w:rPr>
        <w:t xml:space="preserve"> </w:t>
      </w:r>
      <w:proofErr w:type="spellStart"/>
      <w:r w:rsidRPr="007D6832">
        <w:rPr>
          <w:i/>
        </w:rPr>
        <w:t>pôvodnej</w:t>
      </w:r>
      <w:proofErr w:type="spellEnd"/>
      <w:r w:rsidRPr="007D6832">
        <w:rPr>
          <w:i/>
        </w:rPr>
        <w:t xml:space="preserve"> normy znamenala </w:t>
      </w:r>
      <w:proofErr w:type="spellStart"/>
      <w:r w:rsidRPr="007D6832">
        <w:rPr>
          <w:i/>
        </w:rPr>
        <w:t>protiústavný</w:t>
      </w:r>
      <w:proofErr w:type="spellEnd"/>
      <w:r w:rsidRPr="007D6832">
        <w:rPr>
          <w:i/>
        </w:rPr>
        <w:t xml:space="preserve"> stav. </w:t>
      </w:r>
    </w:p>
    <w:p w:rsidR="004D2920" w:rsidRPr="007D6832" w:rsidRDefault="004D2920" w:rsidP="004D2920">
      <w:pPr>
        <w:pStyle w:val="Zkladntextodsazen"/>
        <w:spacing w:before="120" w:line="240" w:lineRule="auto"/>
        <w:ind w:firstLine="0"/>
        <w:rPr>
          <w:i/>
          <w:sz w:val="24"/>
        </w:rPr>
      </w:pPr>
      <w:r w:rsidRPr="007D6832">
        <w:rPr>
          <w:i/>
          <w:sz w:val="24"/>
        </w:rPr>
        <w:t>Dôležitá je aj skutočnosť, že ústavný súd sa v doterajšej rozhodovacej činnosti zaoberal aj derogačnými normami, aj keď návrhu na ich zrušenie nikdy nevyhovel (</w:t>
      </w:r>
      <w:proofErr w:type="spellStart"/>
      <w:r w:rsidRPr="007D6832">
        <w:rPr>
          <w:i/>
          <w:sz w:val="24"/>
        </w:rPr>
        <w:t>porov</w:t>
      </w:r>
      <w:proofErr w:type="spellEnd"/>
      <w:r w:rsidRPr="007D6832">
        <w:rPr>
          <w:i/>
          <w:sz w:val="24"/>
        </w:rPr>
        <w:t>. PL. ÚS 33/95, PL. ÚS 30/95, PL. ÚS 8/96 časť XI a PL. ÚS 6/01).</w:t>
      </w:r>
    </w:p>
    <w:p w:rsidR="004D2920" w:rsidRPr="007D6832" w:rsidRDefault="004D2920" w:rsidP="004D2920">
      <w:pPr>
        <w:pStyle w:val="Zkladntext"/>
        <w:spacing w:before="120"/>
        <w:rPr>
          <w:i/>
        </w:rPr>
      </w:pPr>
      <w:r w:rsidRPr="007D6832">
        <w:rPr>
          <w:i/>
        </w:rPr>
        <w:t>Ústavný súd však zároveň musí uviesť, že prieskum derogačnej normy považuje za výnimku, ktorú je potrebné aplikovať s opatrnosťou. Ústavný súd nemohol v záujme ochrany ústavnosti, zvlášť základných slobôd, úplne rezignovať na prieskum derogačnej normy z hmotnoprávnych dôvodov, aj keď vníma problematickosť prípadného (automatického) oživovania právnych predpisov tak z hľadiska právnej istoty, ako aj z hľadiska minimalizácie zásahov do zákonodarnej kompetencie Národnej rady Slovenskej republiky. Možno v tejto súvislosti naznačiť, že konštrukciu § 41a ods. 3 zákona o ústavnom súde nemožno vnímať z uvedených hľadísk a z hľadiska previazanosti so súvisiacou právnou úpravou ako bezproblémovú.“</w:t>
      </w:r>
    </w:p>
    <w:p w:rsidR="00D32594" w:rsidRPr="003540A6" w:rsidRDefault="00D32594" w:rsidP="003540A6">
      <w:pPr>
        <w:keepNext/>
        <w:tabs>
          <w:tab w:val="left" w:pos="1260"/>
          <w:tab w:val="left" w:pos="1440"/>
          <w:tab w:val="left" w:pos="5760"/>
        </w:tabs>
        <w:spacing w:before="120"/>
        <w:rPr>
          <w:b/>
        </w:rPr>
      </w:pPr>
    </w:p>
    <w:p w:rsidR="00D6097A" w:rsidRPr="003540A6" w:rsidRDefault="00D6097A" w:rsidP="00BF2A57">
      <w:pPr>
        <w:pStyle w:val="Odstavecseseznamem"/>
        <w:keepNext/>
        <w:numPr>
          <w:ilvl w:val="0"/>
          <w:numId w:val="1"/>
        </w:numPr>
        <w:tabs>
          <w:tab w:val="left" w:pos="1260"/>
          <w:tab w:val="left" w:pos="1440"/>
          <w:tab w:val="left" w:pos="5760"/>
        </w:tabs>
        <w:spacing w:before="120"/>
        <w:jc w:val="center"/>
        <w:rPr>
          <w:b/>
        </w:rPr>
      </w:pPr>
      <w:r w:rsidRPr="003540A6">
        <w:rPr>
          <w:b/>
        </w:rPr>
        <w:t>Návrh</w:t>
      </w:r>
    </w:p>
    <w:p w:rsidR="0084791B" w:rsidRPr="003540A6" w:rsidRDefault="00D6097A" w:rsidP="003540A6">
      <w:pPr>
        <w:tabs>
          <w:tab w:val="left" w:pos="1260"/>
          <w:tab w:val="left" w:pos="1440"/>
          <w:tab w:val="left" w:pos="5760"/>
        </w:tabs>
        <w:spacing w:before="120"/>
        <w:jc w:val="both"/>
      </w:pPr>
      <w:r w:rsidRPr="003540A6">
        <w:t>S ohledem na výše uvedené navrhuj</w:t>
      </w:r>
      <w:r w:rsidR="006F2A6C" w:rsidRPr="003540A6">
        <w:t>eme</w:t>
      </w:r>
      <w:r w:rsidRPr="003540A6">
        <w:t>, aby Ústavní soud vydal tento nález:</w:t>
      </w:r>
    </w:p>
    <w:p w:rsidR="00595A02" w:rsidRDefault="007839DA" w:rsidP="00BF2A57">
      <w:pPr>
        <w:pStyle w:val="Odstavecseseznamem"/>
        <w:numPr>
          <w:ilvl w:val="0"/>
          <w:numId w:val="4"/>
        </w:numPr>
        <w:tabs>
          <w:tab w:val="left" w:pos="1260"/>
          <w:tab w:val="left" w:pos="1440"/>
          <w:tab w:val="left" w:pos="5760"/>
        </w:tabs>
        <w:spacing w:before="120"/>
        <w:jc w:val="both"/>
        <w:rPr>
          <w:b/>
        </w:rPr>
      </w:pPr>
      <w:r>
        <w:rPr>
          <w:b/>
        </w:rPr>
        <w:t>Č</w:t>
      </w:r>
      <w:r w:rsidR="00595A02" w:rsidRPr="00595A02">
        <w:rPr>
          <w:b/>
        </w:rPr>
        <w:t>ást ustanovení § 6 odst. 3 spočívající v číslici „2 000“</w:t>
      </w:r>
      <w:r w:rsidR="00595A02">
        <w:rPr>
          <w:b/>
        </w:rPr>
        <w:t xml:space="preserve"> a </w:t>
      </w:r>
      <w:r w:rsidR="00595A02" w:rsidRPr="00595A02">
        <w:rPr>
          <w:b/>
        </w:rPr>
        <w:t xml:space="preserve">část ustanovení § 11 odst. 2 spočívající v číslici „2 000“ vyhlášky Ministerstva spravedlnosti č. 330/2001 Sb., </w:t>
      </w:r>
      <w:r w:rsidR="00595A02" w:rsidRPr="00595A02">
        <w:rPr>
          <w:b/>
        </w:rPr>
        <w:lastRenderedPageBreak/>
        <w:t>o odměně a náhradách soudního exekutora, o odměně a náhradě hotových výdajů správce podniku a o podmínkách pojištění odpovědnosti za škody způsobené exekutorem, ve znění vyhlášky č. 441/2016 Sb.</w:t>
      </w:r>
      <w:r w:rsidR="00C919D8">
        <w:rPr>
          <w:b/>
        </w:rPr>
        <w:t xml:space="preserve"> se ruší prvním dnem třetího kalendářního měsíce následujícího po vyhlášení tohoto nálezu ve Sbírce zákonů.</w:t>
      </w:r>
    </w:p>
    <w:p w:rsidR="00595A02" w:rsidRDefault="00595A02" w:rsidP="00BF2A57">
      <w:pPr>
        <w:pStyle w:val="Odstavecseseznamem"/>
        <w:numPr>
          <w:ilvl w:val="0"/>
          <w:numId w:val="4"/>
        </w:numPr>
        <w:jc w:val="both"/>
        <w:rPr>
          <w:b/>
        </w:rPr>
      </w:pPr>
      <w:r w:rsidRPr="00595A02">
        <w:rPr>
          <w:b/>
        </w:rPr>
        <w:t>§ 13 odst. 3 vyhlášky Ministerstva spravedlnosti č. 330/2001 Sb., o odměně a náhradách soudního exekutora, o odměně a náhradě hotových výdajů správce podniku a o podmínkách pojištění odpovědnosti za škody způsobené exekutorem, ve znění vyhlášky č. 441/2016 Sb.</w:t>
      </w:r>
      <w:r>
        <w:rPr>
          <w:b/>
        </w:rPr>
        <w:t xml:space="preserve"> se ruší dnem vyhlášení </w:t>
      </w:r>
      <w:r w:rsidR="00C919D8">
        <w:rPr>
          <w:b/>
        </w:rPr>
        <w:t xml:space="preserve">tohoto </w:t>
      </w:r>
      <w:r>
        <w:rPr>
          <w:b/>
        </w:rPr>
        <w:t>nálezu ve Sbírce zákonů.</w:t>
      </w:r>
    </w:p>
    <w:p w:rsidR="002A3C64" w:rsidRPr="00595A02" w:rsidRDefault="002A3C64" w:rsidP="001927DC">
      <w:pPr>
        <w:pStyle w:val="Odstavecseseznamem"/>
        <w:jc w:val="both"/>
        <w:rPr>
          <w:b/>
        </w:rPr>
      </w:pPr>
    </w:p>
    <w:p w:rsidR="00B76355" w:rsidRPr="003540A6" w:rsidRDefault="00B76355" w:rsidP="003540A6">
      <w:pPr>
        <w:tabs>
          <w:tab w:val="left" w:pos="1260"/>
          <w:tab w:val="left" w:pos="1440"/>
          <w:tab w:val="left" w:pos="5760"/>
        </w:tabs>
        <w:spacing w:before="120"/>
      </w:pPr>
    </w:p>
    <w:p w:rsidR="00002941" w:rsidRPr="00F45290" w:rsidRDefault="00004A96" w:rsidP="00F45290">
      <w:pPr>
        <w:tabs>
          <w:tab w:val="left" w:pos="1260"/>
          <w:tab w:val="left" w:pos="1440"/>
          <w:tab w:val="left" w:pos="5760"/>
        </w:tabs>
        <w:spacing w:before="120"/>
        <w:jc w:val="right"/>
        <w:rPr>
          <w:b/>
        </w:rPr>
      </w:pPr>
      <w:r w:rsidRPr="003540A6">
        <w:tab/>
      </w:r>
      <w:r w:rsidR="00D6097A" w:rsidRPr="003540A6">
        <w:rPr>
          <w:b/>
        </w:rPr>
        <w:tab/>
        <w:t xml:space="preserve">                                                             </w:t>
      </w:r>
      <w:r w:rsidR="00D6726D" w:rsidRPr="003540A6">
        <w:rPr>
          <w:b/>
        </w:rPr>
        <w:t xml:space="preserve">Advokát </w:t>
      </w:r>
      <w:r w:rsidR="00D32594" w:rsidRPr="003540A6">
        <w:rPr>
          <w:b/>
        </w:rPr>
        <w:t>Zdeněk Koudelka</w:t>
      </w:r>
    </w:p>
    <w:sectPr w:rsidR="00002941" w:rsidRPr="00F45290" w:rsidSect="0078296C">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D9" w:rsidRDefault="004579D9">
      <w:r>
        <w:separator/>
      </w:r>
    </w:p>
  </w:endnote>
  <w:endnote w:type="continuationSeparator" w:id="0">
    <w:p w:rsidR="004579D9" w:rsidRDefault="004579D9">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6F" w:rsidRDefault="00CD737B" w:rsidP="00236D8C">
    <w:pPr>
      <w:pStyle w:val="Zpat"/>
      <w:framePr w:wrap="around" w:vAnchor="text" w:hAnchor="margin" w:xAlign="right" w:y="1"/>
      <w:rPr>
        <w:rStyle w:val="slostrnky"/>
      </w:rPr>
    </w:pPr>
    <w:r>
      <w:rPr>
        <w:rStyle w:val="slostrnky"/>
      </w:rPr>
      <w:fldChar w:fldCharType="begin"/>
    </w:r>
    <w:r w:rsidR="00E85F6F">
      <w:rPr>
        <w:rStyle w:val="slostrnky"/>
      </w:rPr>
      <w:instrText xml:space="preserve">PAGE  </w:instrText>
    </w:r>
    <w:r>
      <w:rPr>
        <w:rStyle w:val="slostrnky"/>
      </w:rPr>
      <w:fldChar w:fldCharType="end"/>
    </w:r>
  </w:p>
  <w:p w:rsidR="00E85F6F" w:rsidRDefault="00E85F6F" w:rsidP="00236D8C">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978887"/>
      <w:docPartObj>
        <w:docPartGallery w:val="Page Numbers (Bottom of Page)"/>
        <w:docPartUnique/>
      </w:docPartObj>
    </w:sdtPr>
    <w:sdtContent>
      <w:p w:rsidR="00E85F6F" w:rsidRDefault="00CD737B">
        <w:pPr>
          <w:pStyle w:val="Zpat"/>
          <w:jc w:val="center"/>
        </w:pPr>
        <w:fldSimple w:instr="PAGE   \* MERGEFORMAT">
          <w:r w:rsidR="00537A8C">
            <w:rPr>
              <w:noProof/>
            </w:rPr>
            <w:t>1</w:t>
          </w:r>
        </w:fldSimple>
      </w:p>
    </w:sdtContent>
  </w:sdt>
  <w:p w:rsidR="00E85F6F" w:rsidRDefault="00E85F6F" w:rsidP="00236D8C">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D9" w:rsidRDefault="004579D9">
      <w:r>
        <w:separator/>
      </w:r>
    </w:p>
  </w:footnote>
  <w:footnote w:type="continuationSeparator" w:id="0">
    <w:p w:rsidR="004579D9" w:rsidRDefault="004579D9">
      <w:r>
        <w:continuationSeparator/>
      </w:r>
    </w:p>
  </w:footnote>
  <w:footnote w:id="1">
    <w:p w:rsidR="00E85F6F" w:rsidRDefault="00E85F6F">
      <w:pPr>
        <w:pStyle w:val="Textpoznpodarou"/>
      </w:pPr>
      <w:r>
        <w:rPr>
          <w:rStyle w:val="Znakapoznpodarou"/>
        </w:rPr>
        <w:footnoteRef/>
      </w:r>
      <w:r>
        <w:t xml:space="preserve"> § 3 odst. 2 zákona č. 120/2001 Sb., o soudních exekutorech.</w:t>
      </w:r>
    </w:p>
  </w:footnote>
  <w:footnote w:id="2">
    <w:p w:rsidR="00E85F6F" w:rsidRDefault="00E85F6F">
      <w:pPr>
        <w:pStyle w:val="Textpoznpodarou"/>
      </w:pPr>
      <w:r>
        <w:rPr>
          <w:rStyle w:val="Znakapoznpodarou"/>
        </w:rPr>
        <w:footnoteRef/>
      </w:r>
      <w:r>
        <w:t xml:space="preserve"> Stonásobek minimální mzdy. § 32 odst. 3 písm. c) zákona č. 85/1996 Sb., o advokacii.</w:t>
      </w:r>
    </w:p>
  </w:footnote>
  <w:footnote w:id="3">
    <w:p w:rsidR="00E85F6F" w:rsidRDefault="00E85F6F">
      <w:pPr>
        <w:pStyle w:val="Textpoznpodarou"/>
      </w:pPr>
      <w:r>
        <w:rPr>
          <w:rStyle w:val="Znakapoznpodarou"/>
        </w:rPr>
        <w:footnoteRef/>
      </w:r>
      <w:r>
        <w:t xml:space="preserve"> § 36b zákona č. 312/2006 Sb., o </w:t>
      </w:r>
      <w:proofErr w:type="spellStart"/>
      <w:r>
        <w:t>insolvenčních</w:t>
      </w:r>
      <w:proofErr w:type="spellEnd"/>
      <w:r>
        <w:t xml:space="preserve"> správcích do novely zákonem č. 64/2017 Sb.</w:t>
      </w:r>
    </w:p>
  </w:footnote>
  <w:footnote w:id="4">
    <w:p w:rsidR="00E85F6F" w:rsidRDefault="00E85F6F">
      <w:pPr>
        <w:pStyle w:val="Textpoznpodarou"/>
      </w:pPr>
      <w:r>
        <w:rPr>
          <w:rStyle w:val="Znakapoznpodarou"/>
        </w:rPr>
        <w:footnoteRef/>
      </w:r>
      <w:r>
        <w:t xml:space="preserve"> Čl. 5 Světového kodexu exekutorů Mezinárodního svazu exekutorů a soudních úředníků. </w:t>
      </w:r>
      <w:hyperlink r:id="rId1" w:history="1">
        <w:r w:rsidRPr="00B7335B">
          <w:rPr>
            <w:rStyle w:val="Hypertextovodkaz"/>
          </w:rPr>
          <w:t>http://www.uihj.com/en/global-code-of-enforcement_2165010.html</w:t>
        </w:r>
      </w:hyperlink>
      <w:r>
        <w:t xml:space="preserve"> </w:t>
      </w:r>
    </w:p>
  </w:footnote>
  <w:footnote w:id="5">
    <w:p w:rsidR="00E85F6F" w:rsidRDefault="00E85F6F" w:rsidP="00042985">
      <w:pPr>
        <w:pStyle w:val="Textpoznpodarou"/>
      </w:pPr>
      <w:r>
        <w:rPr>
          <w:rStyle w:val="Znakapoznpodarou"/>
        </w:rPr>
        <w:footnoteRef/>
      </w:r>
      <w:r>
        <w:t xml:space="preserve"> Nařízení vlády č. 303/1995 Sb., o minimální mzdě, ve znění nařízení vlády č. 429/2000 Sb.</w:t>
      </w:r>
    </w:p>
  </w:footnote>
  <w:footnote w:id="6">
    <w:p w:rsidR="00E85F6F" w:rsidRPr="00EA2870" w:rsidRDefault="00E85F6F" w:rsidP="00042985">
      <w:pPr>
        <w:spacing w:before="120"/>
        <w:jc w:val="both"/>
        <w:rPr>
          <w:sz w:val="20"/>
          <w:szCs w:val="20"/>
        </w:rPr>
      </w:pPr>
      <w:r w:rsidRPr="00EA2870">
        <w:rPr>
          <w:rStyle w:val="Znakapoznpodarou"/>
          <w:sz w:val="20"/>
          <w:szCs w:val="20"/>
        </w:rPr>
        <w:footnoteRef/>
      </w:r>
      <w:r w:rsidRPr="00EA2870">
        <w:rPr>
          <w:sz w:val="20"/>
          <w:szCs w:val="20"/>
        </w:rPr>
        <w:t xml:space="preserve"> Nařízení vlády č. 567/2006 Sb., o minimální mzdě, o nejnižších úrovních zaručené mzdy, o vymezení ztíženého pracovního prostředí a o výši příplatku ke mzdě za práci ve ztíženém pracovním prostředí, ve znění nařízení vlády č. </w:t>
      </w:r>
      <w:r>
        <w:rPr>
          <w:sz w:val="20"/>
          <w:szCs w:val="20"/>
        </w:rPr>
        <w:t>336 a 337</w:t>
      </w:r>
      <w:r w:rsidRPr="00EA2870">
        <w:rPr>
          <w:sz w:val="20"/>
          <w:szCs w:val="20"/>
        </w:rPr>
        <w:t>/2016 Sb.</w:t>
      </w:r>
    </w:p>
  </w:footnote>
  <w:footnote w:id="7">
    <w:p w:rsidR="00E85F6F" w:rsidRPr="00EA2870" w:rsidRDefault="00E85F6F" w:rsidP="00042985">
      <w:pPr>
        <w:pStyle w:val="Textpoznpodarou"/>
      </w:pPr>
      <w:r w:rsidRPr="00EA2870">
        <w:rPr>
          <w:rStyle w:val="Znakapoznpodarou"/>
        </w:rPr>
        <w:footnoteRef/>
      </w:r>
      <w:r w:rsidRPr="00EA2870">
        <w:t xml:space="preserve"> Zaměstnanci a průměrné hrubé měsíční mzdy podle sfér hospodářství. Český statistický úřad.</w:t>
      </w:r>
    </w:p>
  </w:footnote>
  <w:footnote w:id="8">
    <w:p w:rsidR="00E85F6F" w:rsidRDefault="00E85F6F" w:rsidP="00042985">
      <w:pPr>
        <w:pStyle w:val="Textpoznpodarou"/>
      </w:pPr>
      <w:r>
        <w:rPr>
          <w:rStyle w:val="Znakapoznpodarou"/>
        </w:rPr>
        <w:footnoteRef/>
      </w:r>
      <w:r>
        <w:t xml:space="preserve"> Do roku 2004 byl koeficient 1,9, ale byl poskytován zároveň 13. a 14. plat. § 11 zákona č. 236/1995 Sb., o platu a dalších náležitostech spojených s výkonem funkce představitelů státní moci a některých státních orgánů a soudců a poslanců Evropského parlamentu. Novela zákonem č. 626/2004 Sb.</w:t>
      </w:r>
    </w:p>
  </w:footnote>
  <w:footnote w:id="9">
    <w:p w:rsidR="00E85F6F" w:rsidRDefault="00E85F6F" w:rsidP="00042985">
      <w:pPr>
        <w:pStyle w:val="Textpoznpodarou"/>
      </w:pPr>
      <w:r>
        <w:rPr>
          <w:rStyle w:val="Znakapoznpodarou"/>
        </w:rPr>
        <w:footnoteRef/>
      </w:r>
      <w:r>
        <w:t xml:space="preserve"> § 3</w:t>
      </w:r>
      <w:r w:rsidRPr="00E46CD6">
        <w:t xml:space="preserve"> zákona č. 236/1995 Sb., o platu a dalších náležitostech spojených s výkonem funkce představitelů státní moci a některých státních orgánů a soudců a poslanců Evropského parlamentu</w:t>
      </w:r>
      <w:r>
        <w:t>, ve znění do změny zákonem č. 425/2002 Sb.</w:t>
      </w:r>
      <w:r w:rsidRPr="00E46CD6">
        <w:t xml:space="preserve"> </w:t>
      </w:r>
      <w:r>
        <w:t>Nařízení vlády č. 253/1992 Sb., o platových poměrech zaměstnanců orgánů státní správy, některých dalších orgánů a obcí, ve znění nařízení vlády č. 454/2000 Sb.</w:t>
      </w:r>
    </w:p>
  </w:footnote>
  <w:footnote w:id="10">
    <w:p w:rsidR="00E85F6F" w:rsidRDefault="00E85F6F" w:rsidP="00042985">
      <w:pPr>
        <w:pStyle w:val="Textpoznpodarou"/>
      </w:pPr>
      <w:r>
        <w:rPr>
          <w:rStyle w:val="Znakapoznpodarou"/>
        </w:rPr>
        <w:footnoteRef/>
      </w:r>
      <w:r>
        <w:t xml:space="preserve"> Sdělení Ministerstva práce a sociálních věcí č. 401/2016 Sb., o vyhlášení výše platové základny pro určení platu a některých náhrad výdajů představitelů podle zákona č. 236/1995 Sb., o platu a dalších náležitostech spojených s výkonem funkce představitelů státní moci a některých státních orgánů a soudců.</w:t>
      </w:r>
    </w:p>
  </w:footnote>
  <w:footnote w:id="11">
    <w:p w:rsidR="00E85F6F" w:rsidRDefault="00E85F6F">
      <w:pPr>
        <w:pStyle w:val="Textpoznpodarou"/>
      </w:pPr>
      <w:r>
        <w:rPr>
          <w:rStyle w:val="Znakapoznpodarou"/>
        </w:rPr>
        <w:footnoteRef/>
      </w:r>
      <w:r>
        <w:t xml:space="preserve"> § 28 odst. 1 zákona</w:t>
      </w:r>
      <w:r w:rsidRPr="008951B9">
        <w:t xml:space="preserve"> </w:t>
      </w:r>
      <w:r>
        <w:t>o platu a dalších náležitostech spojených s výkonem funkce představitelů státní moci a některých státních orgánů a soudců. Sdělení Ministerstva práce a sociálních věcí č. 402/2016 Sb.</w:t>
      </w:r>
    </w:p>
  </w:footnote>
  <w:footnote w:id="12">
    <w:p w:rsidR="00E85F6F" w:rsidRPr="00C50328" w:rsidRDefault="00E85F6F" w:rsidP="00042985">
      <w:pPr>
        <w:pStyle w:val="Textpoznpodarou"/>
      </w:pPr>
      <w:r w:rsidRPr="00C50328">
        <w:rPr>
          <w:rStyle w:val="Znakapoznpodarou"/>
        </w:rPr>
        <w:footnoteRef/>
      </w:r>
      <w:r w:rsidRPr="00C50328">
        <w:t xml:space="preserve"> Nález č. 35/2004 Sbírky nálezů a usnesení Ústavního soudu, sv. 32 (278/2004 Sb., </w:t>
      </w:r>
      <w:proofErr w:type="spellStart"/>
      <w:proofErr w:type="gramStart"/>
      <w:r w:rsidRPr="00C50328">
        <w:t>Pl.ÚS</w:t>
      </w:r>
      <w:proofErr w:type="spellEnd"/>
      <w:proofErr w:type="gramEnd"/>
      <w:r w:rsidRPr="00C50328">
        <w:t xml:space="preserve"> 2/02).</w:t>
      </w:r>
    </w:p>
  </w:footnote>
  <w:footnote w:id="13">
    <w:p w:rsidR="00E85F6F" w:rsidRPr="00C50328" w:rsidRDefault="00E85F6F" w:rsidP="00042985">
      <w:pPr>
        <w:pStyle w:val="Textpoznpodarou"/>
      </w:pPr>
      <w:r w:rsidRPr="00C50328">
        <w:rPr>
          <w:rStyle w:val="Znakapoznpodarou"/>
        </w:rPr>
        <w:footnoteRef/>
      </w:r>
      <w:r w:rsidRPr="00C50328">
        <w:t xml:space="preserve"> Část druhá (Změna občanského zákoníku) zákona č. 229/2001 Sb. </w:t>
      </w:r>
    </w:p>
  </w:footnote>
  <w:footnote w:id="14">
    <w:p w:rsidR="00E85F6F" w:rsidRPr="00C50328" w:rsidRDefault="00E85F6F" w:rsidP="00042985">
      <w:pPr>
        <w:pStyle w:val="Textpoznpodarou"/>
      </w:pPr>
      <w:r w:rsidRPr="00C50328">
        <w:rPr>
          <w:rStyle w:val="Znakapoznpodarou"/>
        </w:rPr>
        <w:footnoteRef/>
      </w:r>
      <w:r w:rsidRPr="00C50328">
        <w:t xml:space="preserve"> § 879c-879e občanského zákoníku č. 40/1964 Sb., ve znění zákona č. 103/2000 Sb.</w:t>
      </w:r>
    </w:p>
  </w:footnote>
  <w:footnote w:id="15">
    <w:p w:rsidR="00E85F6F" w:rsidRPr="00C50328" w:rsidRDefault="00E85F6F" w:rsidP="00042985">
      <w:pPr>
        <w:pStyle w:val="Textpoznpodarou"/>
      </w:pPr>
      <w:r w:rsidRPr="00C50328">
        <w:rPr>
          <w:rStyle w:val="Znakapoznpodarou"/>
        </w:rPr>
        <w:footnoteRef/>
      </w:r>
      <w:r w:rsidRPr="00C50328">
        <w:t xml:space="preserve"> Z legitimního očekávání vyšel Nejvyšší správní soud při hodnocení pozice justičního čekatele ucházejícího se o funkci soudce, tedy v oblasti pracovněprávní. Rozsudky Nejvyššího správního soudu č. 905/2006 Sbírky rozhodnutí Nejvyššího správního soudu (4Aps 3/2005) a č. 1717/2008 Sbírky rozhodnutí Nejvyššího správního soudu (4Ans 9/2007-197).</w:t>
      </w:r>
    </w:p>
  </w:footnote>
  <w:footnote w:id="16">
    <w:p w:rsidR="00E85F6F" w:rsidRPr="00C50328" w:rsidRDefault="00E85F6F" w:rsidP="00042985">
      <w:pPr>
        <w:pStyle w:val="Textpoznpodarou"/>
      </w:pPr>
      <w:r w:rsidRPr="00C50328">
        <w:rPr>
          <w:rStyle w:val="Znakapoznpodarou"/>
        </w:rPr>
        <w:footnoteRef/>
      </w:r>
      <w:r w:rsidRPr="00C50328">
        <w:t xml:space="preserve"> Část III bod 21 nálezu č. 131/2009 Sbírky nálezů a usnesení Ústavního soudu sv. </w:t>
      </w:r>
      <w:proofErr w:type="gramStart"/>
      <w:r w:rsidRPr="00C50328">
        <w:t>53 (I.ÚS</w:t>
      </w:r>
      <w:proofErr w:type="gramEnd"/>
      <w:r w:rsidRPr="00C50328">
        <w:t xml:space="preserve"> 420/09).</w:t>
      </w:r>
    </w:p>
  </w:footnote>
  <w:footnote w:id="17">
    <w:p w:rsidR="00E85F6F" w:rsidRDefault="00E85F6F" w:rsidP="008D0AE1">
      <w:pPr>
        <w:pStyle w:val="Textpoznpodarou"/>
      </w:pPr>
      <w:r>
        <w:rPr>
          <w:rStyle w:val="Znakapoznpodarou"/>
        </w:rPr>
        <w:footnoteRef/>
      </w:r>
      <w:r>
        <w:t xml:space="preserve"> </w:t>
      </w:r>
      <w:r w:rsidRPr="009B0AAB">
        <w:t xml:space="preserve">§ 38 odst. 1 </w:t>
      </w:r>
      <w:proofErr w:type="spellStart"/>
      <w:r>
        <w:t>insolvenčního</w:t>
      </w:r>
      <w:proofErr w:type="spellEnd"/>
      <w:r>
        <w:t xml:space="preserve"> zákona č. 182/2006 Sb. ve znění zákona č. 64/2017 Sb.</w:t>
      </w:r>
    </w:p>
  </w:footnote>
  <w:footnote w:id="18">
    <w:p w:rsidR="00E85F6F" w:rsidRPr="00FF4C48" w:rsidRDefault="00E85F6F" w:rsidP="00FF4C48">
      <w:pPr>
        <w:pStyle w:val="Textpoznpodarou"/>
      </w:pPr>
      <w:r w:rsidRPr="00FF4C48">
        <w:rPr>
          <w:rStyle w:val="Znakapoznpodarou"/>
        </w:rPr>
        <w:footnoteRef/>
      </w:r>
      <w:r w:rsidRPr="00FF4C48">
        <w:t xml:space="preserve"> Bod 23 a 24 odůvodnění nálezu Ústavního soudu z 6. 9. 2016, </w:t>
      </w:r>
      <w:proofErr w:type="gramStart"/>
      <w:r w:rsidRPr="00FF4C48">
        <w:t>IV.ÚS</w:t>
      </w:r>
      <w:proofErr w:type="gramEnd"/>
      <w:r w:rsidRPr="00FF4C48">
        <w:t xml:space="preserve"> 378/16.</w:t>
      </w:r>
    </w:p>
  </w:footnote>
  <w:footnote w:id="19">
    <w:p w:rsidR="00E85F6F" w:rsidRPr="00436846" w:rsidRDefault="00E85F6F" w:rsidP="00A9514E">
      <w:pPr>
        <w:pStyle w:val="Nadpis1"/>
        <w:spacing w:before="120"/>
        <w:jc w:val="both"/>
        <w:rPr>
          <w:rFonts w:ascii="Times New Roman" w:hAnsi="Times New Roman" w:cs="Times New Roman"/>
          <w:b w:val="0"/>
          <w:color w:val="000000"/>
          <w:sz w:val="20"/>
          <w:szCs w:val="20"/>
        </w:rPr>
      </w:pPr>
      <w:r w:rsidRPr="00436846">
        <w:rPr>
          <w:rStyle w:val="Znakapoznpodarou"/>
          <w:rFonts w:ascii="Times New Roman" w:hAnsi="Times New Roman" w:cs="Times New Roman"/>
          <w:b w:val="0"/>
          <w:color w:val="000000" w:themeColor="text1"/>
          <w:sz w:val="20"/>
          <w:szCs w:val="20"/>
        </w:rPr>
        <w:footnoteRef/>
      </w:r>
      <w:r w:rsidRPr="00436846">
        <w:rPr>
          <w:rFonts w:ascii="Times New Roman" w:hAnsi="Times New Roman" w:cs="Times New Roman"/>
          <w:b w:val="0"/>
          <w:sz w:val="20"/>
          <w:szCs w:val="20"/>
        </w:rPr>
        <w:t xml:space="preserve"> </w:t>
      </w:r>
      <w:r w:rsidRPr="00436846">
        <w:rPr>
          <w:rFonts w:ascii="Times New Roman" w:hAnsi="Times New Roman" w:cs="Times New Roman"/>
          <w:b w:val="0"/>
          <w:color w:val="000000"/>
          <w:sz w:val="20"/>
          <w:szCs w:val="20"/>
        </w:rPr>
        <w:t>Exekutorů v Česku ubývá. Pelikán volá po snížení na polovinu, komora chystá ústavní stížnost</w:t>
      </w:r>
      <w:r w:rsidRPr="00436846">
        <w:rPr>
          <w:rFonts w:ascii="Times New Roman" w:hAnsi="Times New Roman" w:cs="Times New Roman"/>
          <w:b w:val="0"/>
          <w:i/>
          <w:color w:val="000000"/>
          <w:sz w:val="20"/>
          <w:szCs w:val="20"/>
        </w:rPr>
        <w:t>. Český rozhlas</w:t>
      </w:r>
      <w:r w:rsidRPr="00436846">
        <w:rPr>
          <w:rFonts w:ascii="Times New Roman" w:hAnsi="Times New Roman" w:cs="Times New Roman"/>
          <w:b w:val="0"/>
          <w:color w:val="000000"/>
          <w:sz w:val="20"/>
          <w:szCs w:val="20"/>
        </w:rPr>
        <w:t xml:space="preserve"> 4. 3. 2017. </w:t>
      </w:r>
      <w:hyperlink r:id="rId2" w:history="1">
        <w:r w:rsidRPr="00436846">
          <w:rPr>
            <w:rStyle w:val="Hypertextovodkaz"/>
            <w:rFonts w:ascii="Times New Roman" w:hAnsi="Times New Roman"/>
            <w:b w:val="0"/>
            <w:sz w:val="20"/>
            <w:szCs w:val="20"/>
          </w:rPr>
          <w:t>http://www.rozhlas.cz/zpravy/domaci/_zprava/1704536</w:t>
        </w:r>
      </w:hyperlink>
      <w:r w:rsidRPr="00436846">
        <w:rPr>
          <w:rFonts w:ascii="Times New Roman" w:hAnsi="Times New Roman" w:cs="Times New Roman"/>
          <w:b w:val="0"/>
          <w:color w:val="000000"/>
          <w:sz w:val="20"/>
          <w:szCs w:val="20"/>
        </w:rPr>
        <w:t xml:space="preserve"> </w:t>
      </w:r>
    </w:p>
  </w:footnote>
  <w:footnote w:id="20">
    <w:p w:rsidR="00E85F6F" w:rsidRPr="004E6D30" w:rsidRDefault="00E85F6F" w:rsidP="00A9514E">
      <w:pPr>
        <w:spacing w:before="120"/>
        <w:jc w:val="both"/>
        <w:rPr>
          <w:sz w:val="20"/>
          <w:szCs w:val="20"/>
        </w:rPr>
      </w:pPr>
      <w:r w:rsidRPr="004E6D30">
        <w:rPr>
          <w:rStyle w:val="Znakapoznpodarou"/>
          <w:sz w:val="20"/>
          <w:szCs w:val="20"/>
        </w:rPr>
        <w:footnoteRef/>
      </w:r>
      <w:r w:rsidRPr="004E6D30">
        <w:rPr>
          <w:sz w:val="20"/>
          <w:szCs w:val="20"/>
        </w:rPr>
        <w:t xml:space="preserve"> Studená válka. Pelikán jde po krku exekutorům. </w:t>
      </w:r>
      <w:r w:rsidRPr="004E6D30">
        <w:rPr>
          <w:i/>
          <w:sz w:val="20"/>
          <w:szCs w:val="20"/>
        </w:rPr>
        <w:t>Pražský deník/Deník.</w:t>
      </w:r>
      <w:proofErr w:type="spellStart"/>
      <w:r w:rsidRPr="004E6D30">
        <w:rPr>
          <w:i/>
          <w:sz w:val="20"/>
          <w:szCs w:val="20"/>
        </w:rPr>
        <w:t>cz</w:t>
      </w:r>
      <w:proofErr w:type="spellEnd"/>
      <w:r w:rsidRPr="004E6D30">
        <w:rPr>
          <w:sz w:val="20"/>
          <w:szCs w:val="20"/>
        </w:rPr>
        <w:t xml:space="preserve"> 28. 6 2016. Toto prohlášení je citací dřívějšího výroku ministra v rozpravě s exekutory.</w:t>
      </w:r>
    </w:p>
  </w:footnote>
  <w:footnote w:id="21">
    <w:p w:rsidR="00E85F6F" w:rsidRDefault="00E85F6F" w:rsidP="00FF4C48">
      <w:pPr>
        <w:pStyle w:val="Textpoznpodarou"/>
      </w:pPr>
      <w:r w:rsidRPr="004E6D30">
        <w:rPr>
          <w:rStyle w:val="Znakapoznpodarou"/>
        </w:rPr>
        <w:footnoteRef/>
      </w:r>
      <w:r w:rsidRPr="004E6D30">
        <w:t xml:space="preserve"> </w:t>
      </w:r>
      <w:r w:rsidRPr="004E6D30">
        <w:rPr>
          <w:caps/>
        </w:rPr>
        <w:t>Zdeněk Koudelka.</w:t>
      </w:r>
      <w:r w:rsidRPr="004E6D30">
        <w:t xml:space="preserve"> Obživnutí zrušeného právního předpisu. </w:t>
      </w:r>
      <w:r w:rsidRPr="004E6D30">
        <w:rPr>
          <w:i/>
        </w:rPr>
        <w:t>Jurisprudence</w:t>
      </w:r>
      <w:r w:rsidRPr="004E6D30">
        <w:t xml:space="preserve"> 4/2013, ISSN 1802-2843, s.</w:t>
      </w:r>
      <w:r w:rsidRPr="00172C24">
        <w:t xml:space="preserve"> 8-14</w:t>
      </w:r>
      <w:r>
        <w:t>.</w:t>
      </w:r>
    </w:p>
  </w:footnote>
  <w:footnote w:id="22">
    <w:p w:rsidR="00E85F6F" w:rsidRPr="00106751" w:rsidRDefault="00E85F6F" w:rsidP="00042985">
      <w:pPr>
        <w:pStyle w:val="Textpoznpodarou"/>
      </w:pPr>
      <w:r w:rsidRPr="00106751">
        <w:rPr>
          <w:rStyle w:val="Znakapoznpodarou"/>
        </w:rPr>
        <w:footnoteRef/>
      </w:r>
      <w:r w:rsidRPr="00106751">
        <w:t xml:space="preserve"> Bod 107 části VII Výroková část nálezu a odklad vykonatelnosti odůvodnění nálezu č. 80/2011 Sb. (</w:t>
      </w:r>
      <w:proofErr w:type="spellStart"/>
      <w:proofErr w:type="gramStart"/>
      <w:r w:rsidRPr="00106751">
        <w:t>Pl.ÚS</w:t>
      </w:r>
      <w:proofErr w:type="spellEnd"/>
      <w:proofErr w:type="gramEnd"/>
      <w:r w:rsidRPr="00106751">
        <w:t xml:space="preserve"> 55/10).</w:t>
      </w:r>
    </w:p>
  </w:footnote>
  <w:footnote w:id="23">
    <w:p w:rsidR="00E85F6F" w:rsidRPr="00106751" w:rsidRDefault="00E85F6F" w:rsidP="00042985">
      <w:pPr>
        <w:widowControl w:val="0"/>
        <w:autoSpaceDE w:val="0"/>
        <w:autoSpaceDN w:val="0"/>
        <w:adjustRightInd w:val="0"/>
        <w:spacing w:before="120"/>
        <w:jc w:val="both"/>
        <w:rPr>
          <w:sz w:val="20"/>
          <w:szCs w:val="20"/>
        </w:rPr>
      </w:pPr>
      <w:r w:rsidRPr="00106751">
        <w:rPr>
          <w:rStyle w:val="Znakapoznpodarou"/>
          <w:sz w:val="20"/>
          <w:szCs w:val="20"/>
        </w:rPr>
        <w:footnoteRef/>
      </w:r>
      <w:r w:rsidRPr="00106751">
        <w:rPr>
          <w:sz w:val="20"/>
          <w:szCs w:val="20"/>
        </w:rPr>
        <w:t xml:space="preserve"> Zákon č. 364/2011 Sb.,</w:t>
      </w:r>
      <w:r w:rsidRPr="00106751">
        <w:rPr>
          <w:bCs/>
          <w:sz w:val="20"/>
          <w:szCs w:val="20"/>
        </w:rPr>
        <w:t xml:space="preserve"> kterým se mění některé zákony v souvislosti s úspornými opatřeními v působnosti Ministerstva práce a sociálních věcí </w:t>
      </w:r>
    </w:p>
  </w:footnote>
  <w:footnote w:id="24">
    <w:p w:rsidR="00E85F6F" w:rsidRPr="00106751" w:rsidRDefault="00E85F6F" w:rsidP="00042985">
      <w:pPr>
        <w:pStyle w:val="Textpoznpodarou"/>
        <w:rPr>
          <w:color w:val="000000"/>
        </w:rPr>
      </w:pPr>
      <w:r w:rsidRPr="00106751">
        <w:rPr>
          <w:rStyle w:val="Znakapoznpodarou"/>
          <w:color w:val="000000"/>
        </w:rPr>
        <w:footnoteRef/>
      </w:r>
      <w:r w:rsidRPr="00106751">
        <w:rPr>
          <w:color w:val="000000"/>
        </w:rPr>
        <w:t xml:space="preserve"> § 3 </w:t>
      </w:r>
      <w:proofErr w:type="spellStart"/>
      <w:r w:rsidRPr="00106751">
        <w:rPr>
          <w:color w:val="000000"/>
        </w:rPr>
        <w:t>ods</w:t>
      </w:r>
      <w:proofErr w:type="spellEnd"/>
      <w:r w:rsidRPr="00106751">
        <w:rPr>
          <w:color w:val="000000"/>
        </w:rPr>
        <w:t xml:space="preserve">. 3 zákona č. 236/1995 Sb., </w:t>
      </w:r>
      <w:r w:rsidRPr="00106751">
        <w:rPr>
          <w:bCs/>
          <w:color w:val="000000"/>
        </w:rPr>
        <w:t xml:space="preserve">o platu a dalších náležitostech spojených s výkonem funkce představitelů státní moci a některých státních orgánů a soudců a poslanců Evropského parlamentu, ve znění zákona č. </w:t>
      </w:r>
      <w:hyperlink r:id="rId3" w:history="1">
        <w:r w:rsidRPr="00106751">
          <w:rPr>
            <w:bCs/>
            <w:color w:val="000000"/>
          </w:rPr>
          <w:t>425/2010 Sb.</w:t>
        </w:r>
      </w:hyperlink>
    </w:p>
  </w:footnote>
  <w:footnote w:id="25">
    <w:p w:rsidR="00E85F6F" w:rsidRPr="00106751" w:rsidRDefault="00E85F6F" w:rsidP="00042985">
      <w:pPr>
        <w:pStyle w:val="Textpoznpodarou"/>
        <w:rPr>
          <w:bCs/>
          <w:color w:val="000000"/>
        </w:rPr>
      </w:pPr>
      <w:r w:rsidRPr="00106751">
        <w:rPr>
          <w:rStyle w:val="Znakapoznpodarou"/>
          <w:color w:val="000000"/>
        </w:rPr>
        <w:footnoteRef/>
      </w:r>
      <w:r w:rsidRPr="00106751">
        <w:rPr>
          <w:color w:val="000000"/>
        </w:rPr>
        <w:t xml:space="preserve"> </w:t>
      </w:r>
      <w:r w:rsidRPr="00106751">
        <w:rPr>
          <w:bCs/>
          <w:color w:val="000000"/>
        </w:rPr>
        <w:t xml:space="preserve">Poslanci se bojí před volbami debaty o platech, soudci asi ostrouhají. </w:t>
      </w:r>
      <w:r w:rsidRPr="00106751">
        <w:rPr>
          <w:bCs/>
          <w:i/>
          <w:color w:val="000000"/>
        </w:rPr>
        <w:t>Právo</w:t>
      </w:r>
      <w:r w:rsidRPr="00106751">
        <w:rPr>
          <w:bCs/>
          <w:color w:val="000000"/>
        </w:rPr>
        <w:t xml:space="preserve"> 20. 9. 2012, ISSN 1211-2119, s. 4.</w:t>
      </w:r>
    </w:p>
    <w:p w:rsidR="00E85F6F" w:rsidRPr="0071370B" w:rsidRDefault="00E85F6F" w:rsidP="00042985">
      <w:pPr>
        <w:pStyle w:val="Textpoznpodarou"/>
      </w:pPr>
      <w:r w:rsidRPr="0071370B">
        <w:t xml:space="preserve">Dále též vyjádření na Českém rozhlasu 1 - Radiožurnálu a v ParlamentníchListech.cz 19. 7. 2012: Podle Rychetského však Ústavní soud neřekl, jak má vypadat platová základna. </w:t>
      </w:r>
      <w:r w:rsidRPr="0071370B">
        <w:rPr>
          <w:i/>
        </w:rPr>
        <w:t>„Ústavní soud řekl, co nemá být.“</w:t>
      </w:r>
      <w:r w:rsidRPr="0071370B">
        <w:t xml:space="preserve"> zdůraznil na Radiožurnálu. </w:t>
      </w:r>
      <w:hyperlink r:id="rId4" w:history="1">
        <w:r w:rsidRPr="0071370B">
          <w:rPr>
            <w:rStyle w:val="Hypertextovodkaz"/>
          </w:rPr>
          <w:t>http://www.parlamentnilisty.cz/rss/zpravy/Sef-US-Rychetsky-brzdi-Drabka-My-vam-nenaridili-abyste-si-zvedli-platy-240024</w:t>
        </w:r>
      </w:hyperlink>
      <w:r w:rsidRPr="0071370B">
        <w:t xml:space="preserve"> </w:t>
      </w:r>
    </w:p>
  </w:footnote>
  <w:footnote w:id="26">
    <w:p w:rsidR="00E85F6F" w:rsidRPr="0071370B" w:rsidRDefault="00E85F6F" w:rsidP="00042985">
      <w:pPr>
        <w:pStyle w:val="Textpoznpodarou"/>
      </w:pPr>
      <w:r w:rsidRPr="0071370B">
        <w:rPr>
          <w:rStyle w:val="Znakapoznpodarou"/>
        </w:rPr>
        <w:footnoteRef/>
      </w:r>
      <w:r w:rsidRPr="0071370B">
        <w:t xml:space="preserve"> Důvodová zpráva k vládnímu návrhu zákona, kterým se mění zákon o platu některých představitelů státu, obecná část, s. 5, tisk Poslanecké sněmovny 880, </w:t>
      </w:r>
      <w:r>
        <w:t xml:space="preserve">6. </w:t>
      </w:r>
      <w:r w:rsidRPr="0071370B">
        <w:t xml:space="preserve">volební období, </w:t>
      </w:r>
      <w:hyperlink r:id="rId5" w:history="1">
        <w:r w:rsidRPr="0071370B">
          <w:rPr>
            <w:rStyle w:val="Hypertextovodkaz"/>
          </w:rPr>
          <w:t>http://www.psp.cz/sqw/text/tiskt.sqw?O=6&amp;CT=880&amp;CT1=0</w:t>
        </w:r>
      </w:hyperlink>
      <w:r w:rsidRPr="0071370B">
        <w:t xml:space="preserve"> </w:t>
      </w:r>
    </w:p>
  </w:footnote>
  <w:footnote w:id="27">
    <w:p w:rsidR="00E85F6F" w:rsidRPr="00106751" w:rsidRDefault="00E85F6F" w:rsidP="00042985">
      <w:pPr>
        <w:pStyle w:val="Textpoznpodarou"/>
      </w:pPr>
      <w:r w:rsidRPr="0071370B">
        <w:rPr>
          <w:rStyle w:val="Znakapoznpodarou"/>
        </w:rPr>
        <w:footnoteRef/>
      </w:r>
      <w:r w:rsidRPr="0071370B">
        <w:t xml:space="preserve"> § 41a </w:t>
      </w:r>
      <w:proofErr w:type="spellStart"/>
      <w:r w:rsidRPr="0071370B">
        <w:t>ods</w:t>
      </w:r>
      <w:proofErr w:type="spellEnd"/>
      <w:r w:rsidRPr="0071370B">
        <w:t xml:space="preserve">. 3 zákona č. </w:t>
      </w:r>
      <w:proofErr w:type="gramStart"/>
      <w:r w:rsidRPr="0071370B">
        <w:t>38/1993 Z.z</w:t>
      </w:r>
      <w:r>
        <w:t>.,</w:t>
      </w:r>
      <w:r w:rsidRPr="0071370B">
        <w:t xml:space="preserve"> o organizaci</w:t>
      </w:r>
      <w:proofErr w:type="gramEnd"/>
      <w:r w:rsidRPr="0071370B">
        <w:t xml:space="preserve"> Ústavního soudu SR, řízení před ním a o postavení jeho</w:t>
      </w:r>
      <w:r w:rsidRPr="00106751">
        <w:t xml:space="preserve"> soudců ve znění zákona č. 293/1995 Z.z.</w:t>
      </w:r>
    </w:p>
  </w:footnote>
  <w:footnote w:id="28">
    <w:p w:rsidR="00E85F6F" w:rsidRPr="00106751" w:rsidRDefault="00E85F6F" w:rsidP="00042985">
      <w:pPr>
        <w:pStyle w:val="Textpoznpodarou"/>
      </w:pPr>
      <w:r w:rsidRPr="00106751">
        <w:rPr>
          <w:rStyle w:val="Znakapoznpodarou"/>
        </w:rPr>
        <w:footnoteRef/>
      </w:r>
      <w:r w:rsidRPr="00106751">
        <w:t xml:space="preserve"> Návrh může podat podle ústavy generální prokurátor, ale funkce nebyla v té době obsazena. Ústavní soud připustil, že za takové situace ústavní právo generálního prokurátora přechází na jeho náměstka. Usnesení Ústavního soudu SR z 15. 6. 2011, </w:t>
      </w:r>
      <w:proofErr w:type="gramStart"/>
      <w:r w:rsidRPr="00106751">
        <w:t>PL.ÚS</w:t>
      </w:r>
      <w:proofErr w:type="gramEnd"/>
      <w:r w:rsidRPr="00106751">
        <w:t xml:space="preserve"> 95/2011-15.</w:t>
      </w:r>
    </w:p>
  </w:footnote>
  <w:footnote w:id="29">
    <w:p w:rsidR="00E85F6F" w:rsidRPr="00106751" w:rsidRDefault="00E85F6F" w:rsidP="00042985">
      <w:pPr>
        <w:pStyle w:val="Textpoznpodarou"/>
      </w:pPr>
      <w:r w:rsidRPr="00106751">
        <w:rPr>
          <w:rStyle w:val="Znakapoznpodarou"/>
        </w:rPr>
        <w:footnoteRef/>
      </w:r>
      <w:r w:rsidRPr="00106751">
        <w:t xml:space="preserve"> Zákon č. </w:t>
      </w:r>
      <w:proofErr w:type="gramStart"/>
      <w:r w:rsidRPr="00106751">
        <w:t>500/2010 Z.z.</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E69"/>
    <w:multiLevelType w:val="hybridMultilevel"/>
    <w:tmpl w:val="6B9CD532"/>
    <w:lvl w:ilvl="0" w:tplc="E9FE4B70">
      <w:start w:val="1"/>
      <w:numFmt w:val="bullet"/>
      <w:lvlText w:val="-"/>
      <w:lvlJc w:val="left"/>
      <w:pPr>
        <w:ind w:left="1068" w:hanging="360"/>
      </w:pPr>
      <w:rPr>
        <w:rFonts w:ascii="Book Antiqua" w:eastAsiaTheme="minorHAnsi" w:hAnsi="Book Antiqua" w:cstheme="minorBidi" w:hint="default"/>
        <w:i/>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755565E"/>
    <w:multiLevelType w:val="hybridMultilevel"/>
    <w:tmpl w:val="13062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1D332C"/>
    <w:multiLevelType w:val="hybridMultilevel"/>
    <w:tmpl w:val="67B04444"/>
    <w:lvl w:ilvl="0" w:tplc="572830B2">
      <w:start w:val="2"/>
      <w:numFmt w:val="bullet"/>
      <w:lvlText w:val="-"/>
      <w:lvlJc w:val="left"/>
      <w:pPr>
        <w:ind w:left="1146" w:hanging="360"/>
      </w:pPr>
      <w:rPr>
        <w:rFonts w:ascii="Book Antiqua" w:eastAsiaTheme="minorHAnsi" w:hAnsi="Book Antiqua" w:cstheme="minorBid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nsid w:val="39547B9D"/>
    <w:multiLevelType w:val="hybridMultilevel"/>
    <w:tmpl w:val="F990B2F0"/>
    <w:lvl w:ilvl="0" w:tplc="F8C8A650">
      <w:start w:val="1"/>
      <w:numFmt w:val="upp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nsid w:val="4FBC1353"/>
    <w:multiLevelType w:val="multilevel"/>
    <w:tmpl w:val="30B2890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5">
    <w:nsid w:val="6AAF1A1F"/>
    <w:multiLevelType w:val="multilevel"/>
    <w:tmpl w:val="03C62F4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5"/>
      </w:pPr>
      <w:rPr>
        <w:rFonts w:cs="Times New Roman"/>
        <w:sz w:val="24"/>
        <w:szCs w:val="24"/>
      </w:rPr>
    </w:lvl>
    <w:lvl w:ilvl="3">
      <w:start w:val="1"/>
      <w:numFmt w:val="none"/>
      <w:pStyle w:val="Nadpis4"/>
      <w:suff w:val="nothing"/>
      <w:lvlText w:val=""/>
      <w:lvlJc w:val="left"/>
      <w:pPr>
        <w:ind w:left="0" w:firstLine="0"/>
      </w:pPr>
      <w:rPr>
        <w:rFonts w:cs="Times New Roman"/>
      </w:rPr>
    </w:lvl>
    <w:lvl w:ilvl="4">
      <w:start w:val="1"/>
      <w:numFmt w:val="none"/>
      <w:pStyle w:val="Nadpis5"/>
      <w:suff w:val="nothing"/>
      <w:lvlText w:val=""/>
      <w:lvlJc w:val="left"/>
      <w:pPr>
        <w:ind w:left="0" w:firstLine="0"/>
      </w:pPr>
      <w:rPr>
        <w:rFonts w:cs="Times New Roman"/>
      </w:rPr>
    </w:lvl>
    <w:lvl w:ilvl="5">
      <w:start w:val="1"/>
      <w:numFmt w:val="none"/>
      <w:pStyle w:val="Nadpis6"/>
      <w:suff w:val="nothing"/>
      <w:lvlText w:val=""/>
      <w:lvlJc w:val="left"/>
      <w:pPr>
        <w:ind w:left="0" w:firstLine="0"/>
      </w:pPr>
      <w:rPr>
        <w:rFonts w:cs="Times New Roman"/>
      </w:rPr>
    </w:lvl>
    <w:lvl w:ilvl="6">
      <w:start w:val="1"/>
      <w:numFmt w:val="none"/>
      <w:pStyle w:val="Nadpis7"/>
      <w:suff w:val="nothing"/>
      <w:lvlText w:val=""/>
      <w:lvlJc w:val="left"/>
      <w:pPr>
        <w:ind w:left="0" w:firstLine="0"/>
      </w:pPr>
      <w:rPr>
        <w:rFonts w:cs="Times New Roman"/>
      </w:rPr>
    </w:lvl>
    <w:lvl w:ilvl="7">
      <w:start w:val="1"/>
      <w:numFmt w:val="none"/>
      <w:pStyle w:val="Nadpis8"/>
      <w:suff w:val="nothing"/>
      <w:lvlText w:val=""/>
      <w:lvlJc w:val="left"/>
      <w:pPr>
        <w:ind w:left="0" w:firstLine="0"/>
      </w:pPr>
      <w:rPr>
        <w:rFonts w:cs="Times New Roman"/>
      </w:rPr>
    </w:lvl>
    <w:lvl w:ilvl="8">
      <w:start w:val="1"/>
      <w:numFmt w:val="none"/>
      <w:pStyle w:val="Nadpis9"/>
      <w:suff w:val="nothing"/>
      <w:lvlText w:val=""/>
      <w:lvlJc w:val="left"/>
      <w:pPr>
        <w:ind w:left="0" w:firstLine="0"/>
      </w:pPr>
      <w:rPr>
        <w:rFonts w:cs="Times New Roman"/>
      </w:rPr>
    </w:lvl>
  </w:abstractNum>
  <w:abstractNum w:abstractNumId="6">
    <w:nsid w:val="7D89419C"/>
    <w:multiLevelType w:val="hybridMultilevel"/>
    <w:tmpl w:val="40D45590"/>
    <w:lvl w:ilvl="0" w:tplc="3EE40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013F06"/>
    <w:multiLevelType w:val="hybridMultilevel"/>
    <w:tmpl w:val="762E5B02"/>
    <w:lvl w:ilvl="0" w:tplc="D4543400">
      <w:start w:val="1"/>
      <w:numFmt w:val="decimal"/>
      <w:lvlText w:val="%1."/>
      <w:lvlJc w:val="left"/>
      <w:pPr>
        <w:ind w:left="780" w:hanging="360"/>
      </w:pPr>
      <w:rPr>
        <w:rFonts w:hint="default"/>
        <w:b w:val="0"/>
        <w:u w:val="no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4"/>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
  </w:num>
  <w:num w:numId="7">
    <w:abstractNumId w:val="2"/>
  </w:num>
  <w:num w:numId="8">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vnik2">
    <w15:presenceInfo w15:providerId="None" w15:userId="pravnik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D6097A"/>
    <w:rsid w:val="00000EC1"/>
    <w:rsid w:val="00002941"/>
    <w:rsid w:val="00002C85"/>
    <w:rsid w:val="00004783"/>
    <w:rsid w:val="00004A96"/>
    <w:rsid w:val="00017A3A"/>
    <w:rsid w:val="00020521"/>
    <w:rsid w:val="00021811"/>
    <w:rsid w:val="000219C2"/>
    <w:rsid w:val="00026915"/>
    <w:rsid w:val="000308BA"/>
    <w:rsid w:val="00034F11"/>
    <w:rsid w:val="000378FC"/>
    <w:rsid w:val="00042046"/>
    <w:rsid w:val="00042985"/>
    <w:rsid w:val="00042B05"/>
    <w:rsid w:val="000432BF"/>
    <w:rsid w:val="000436E3"/>
    <w:rsid w:val="0004582B"/>
    <w:rsid w:val="0004748E"/>
    <w:rsid w:val="000479FA"/>
    <w:rsid w:val="00052671"/>
    <w:rsid w:val="00052B94"/>
    <w:rsid w:val="00053917"/>
    <w:rsid w:val="000571B8"/>
    <w:rsid w:val="000654DB"/>
    <w:rsid w:val="00067AFE"/>
    <w:rsid w:val="00075A86"/>
    <w:rsid w:val="00081C3B"/>
    <w:rsid w:val="00081FBF"/>
    <w:rsid w:val="00083645"/>
    <w:rsid w:val="0009332B"/>
    <w:rsid w:val="00096485"/>
    <w:rsid w:val="00096535"/>
    <w:rsid w:val="000A1210"/>
    <w:rsid w:val="000A2A3D"/>
    <w:rsid w:val="000A3884"/>
    <w:rsid w:val="000B0187"/>
    <w:rsid w:val="000B3B51"/>
    <w:rsid w:val="000B42AD"/>
    <w:rsid w:val="000B4C1D"/>
    <w:rsid w:val="000D00FC"/>
    <w:rsid w:val="000D09D2"/>
    <w:rsid w:val="000D19AB"/>
    <w:rsid w:val="000D1B9B"/>
    <w:rsid w:val="000D3B4C"/>
    <w:rsid w:val="000D49D5"/>
    <w:rsid w:val="000D6024"/>
    <w:rsid w:val="000E3FCC"/>
    <w:rsid w:val="000E7CE0"/>
    <w:rsid w:val="000F1676"/>
    <w:rsid w:val="000F2551"/>
    <w:rsid w:val="000F75F0"/>
    <w:rsid w:val="00100A25"/>
    <w:rsid w:val="00101387"/>
    <w:rsid w:val="001020A1"/>
    <w:rsid w:val="00105B7E"/>
    <w:rsid w:val="00107019"/>
    <w:rsid w:val="00110206"/>
    <w:rsid w:val="0011464B"/>
    <w:rsid w:val="001164AF"/>
    <w:rsid w:val="00120B62"/>
    <w:rsid w:val="00120E9B"/>
    <w:rsid w:val="001223AC"/>
    <w:rsid w:val="001240C0"/>
    <w:rsid w:val="00124338"/>
    <w:rsid w:val="00136A16"/>
    <w:rsid w:val="00137902"/>
    <w:rsid w:val="00137C79"/>
    <w:rsid w:val="001420FA"/>
    <w:rsid w:val="001443B1"/>
    <w:rsid w:val="00146619"/>
    <w:rsid w:val="00150FCD"/>
    <w:rsid w:val="00157302"/>
    <w:rsid w:val="001614FB"/>
    <w:rsid w:val="00162ABC"/>
    <w:rsid w:val="00163AA2"/>
    <w:rsid w:val="0016683E"/>
    <w:rsid w:val="00166A42"/>
    <w:rsid w:val="00167510"/>
    <w:rsid w:val="0017033C"/>
    <w:rsid w:val="00171873"/>
    <w:rsid w:val="00172AD8"/>
    <w:rsid w:val="00172C24"/>
    <w:rsid w:val="00173EE2"/>
    <w:rsid w:val="0017483D"/>
    <w:rsid w:val="0017625F"/>
    <w:rsid w:val="0018329C"/>
    <w:rsid w:val="0018363A"/>
    <w:rsid w:val="001846E7"/>
    <w:rsid w:val="00184CF5"/>
    <w:rsid w:val="00185112"/>
    <w:rsid w:val="00185D1A"/>
    <w:rsid w:val="00187837"/>
    <w:rsid w:val="001927DC"/>
    <w:rsid w:val="001974BB"/>
    <w:rsid w:val="001A0253"/>
    <w:rsid w:val="001A1051"/>
    <w:rsid w:val="001A46AE"/>
    <w:rsid w:val="001A5578"/>
    <w:rsid w:val="001A5F7C"/>
    <w:rsid w:val="001A6F3D"/>
    <w:rsid w:val="001B1B50"/>
    <w:rsid w:val="001B2EA6"/>
    <w:rsid w:val="001B742E"/>
    <w:rsid w:val="001B7793"/>
    <w:rsid w:val="001C1B58"/>
    <w:rsid w:val="001C1E0F"/>
    <w:rsid w:val="001C4578"/>
    <w:rsid w:val="001C63AB"/>
    <w:rsid w:val="001D0EFC"/>
    <w:rsid w:val="001D4E49"/>
    <w:rsid w:val="001E4C0E"/>
    <w:rsid w:val="001E5E16"/>
    <w:rsid w:val="001E6079"/>
    <w:rsid w:val="001E6C94"/>
    <w:rsid w:val="001F213B"/>
    <w:rsid w:val="001F3B50"/>
    <w:rsid w:val="001F5D7A"/>
    <w:rsid w:val="001F5DD3"/>
    <w:rsid w:val="002040E3"/>
    <w:rsid w:val="00206033"/>
    <w:rsid w:val="0021038E"/>
    <w:rsid w:val="00212136"/>
    <w:rsid w:val="0021285B"/>
    <w:rsid w:val="00215E64"/>
    <w:rsid w:val="002242E9"/>
    <w:rsid w:val="0022640D"/>
    <w:rsid w:val="00227F71"/>
    <w:rsid w:val="00230457"/>
    <w:rsid w:val="00233CE2"/>
    <w:rsid w:val="00236866"/>
    <w:rsid w:val="00236D8C"/>
    <w:rsid w:val="00242482"/>
    <w:rsid w:val="00242E0C"/>
    <w:rsid w:val="002437DE"/>
    <w:rsid w:val="00247AB9"/>
    <w:rsid w:val="00256D64"/>
    <w:rsid w:val="00261A09"/>
    <w:rsid w:val="00262005"/>
    <w:rsid w:val="0026211D"/>
    <w:rsid w:val="00265FD1"/>
    <w:rsid w:val="00271210"/>
    <w:rsid w:val="00271A64"/>
    <w:rsid w:val="00272CC8"/>
    <w:rsid w:val="00274769"/>
    <w:rsid w:val="0027482E"/>
    <w:rsid w:val="00276F8A"/>
    <w:rsid w:val="00277351"/>
    <w:rsid w:val="00277C80"/>
    <w:rsid w:val="00284AE6"/>
    <w:rsid w:val="00290248"/>
    <w:rsid w:val="00290509"/>
    <w:rsid w:val="00292B9D"/>
    <w:rsid w:val="00292DC3"/>
    <w:rsid w:val="002961E8"/>
    <w:rsid w:val="002968D8"/>
    <w:rsid w:val="00296C33"/>
    <w:rsid w:val="00297762"/>
    <w:rsid w:val="002A172E"/>
    <w:rsid w:val="002A3072"/>
    <w:rsid w:val="002A3747"/>
    <w:rsid w:val="002A3C64"/>
    <w:rsid w:val="002A6724"/>
    <w:rsid w:val="002A778B"/>
    <w:rsid w:val="002A7A05"/>
    <w:rsid w:val="002A7FF4"/>
    <w:rsid w:val="002C0072"/>
    <w:rsid w:val="002C1CEB"/>
    <w:rsid w:val="002C2085"/>
    <w:rsid w:val="002C3597"/>
    <w:rsid w:val="002C629D"/>
    <w:rsid w:val="002C6339"/>
    <w:rsid w:val="002D03DA"/>
    <w:rsid w:val="002D5725"/>
    <w:rsid w:val="002E1E2D"/>
    <w:rsid w:val="002E40B3"/>
    <w:rsid w:val="002E5ECD"/>
    <w:rsid w:val="002E6DF6"/>
    <w:rsid w:val="002F0C8B"/>
    <w:rsid w:val="002F38BE"/>
    <w:rsid w:val="002F3AC7"/>
    <w:rsid w:val="002F6B32"/>
    <w:rsid w:val="002F7364"/>
    <w:rsid w:val="00300F2C"/>
    <w:rsid w:val="00301839"/>
    <w:rsid w:val="00302BB9"/>
    <w:rsid w:val="00302F53"/>
    <w:rsid w:val="003035BC"/>
    <w:rsid w:val="00303C09"/>
    <w:rsid w:val="00304B76"/>
    <w:rsid w:val="003119B9"/>
    <w:rsid w:val="00312FA5"/>
    <w:rsid w:val="00313E6E"/>
    <w:rsid w:val="00313E76"/>
    <w:rsid w:val="00315041"/>
    <w:rsid w:val="00315222"/>
    <w:rsid w:val="00317AA2"/>
    <w:rsid w:val="00320CE4"/>
    <w:rsid w:val="0032512D"/>
    <w:rsid w:val="00326D94"/>
    <w:rsid w:val="0033213D"/>
    <w:rsid w:val="00332667"/>
    <w:rsid w:val="0033512F"/>
    <w:rsid w:val="0033782A"/>
    <w:rsid w:val="00337910"/>
    <w:rsid w:val="00344985"/>
    <w:rsid w:val="00346F0B"/>
    <w:rsid w:val="0035179B"/>
    <w:rsid w:val="003525CF"/>
    <w:rsid w:val="003540A6"/>
    <w:rsid w:val="00355AAF"/>
    <w:rsid w:val="00355C84"/>
    <w:rsid w:val="00355EC0"/>
    <w:rsid w:val="00365646"/>
    <w:rsid w:val="00365FC3"/>
    <w:rsid w:val="00366F26"/>
    <w:rsid w:val="003710A1"/>
    <w:rsid w:val="003732F7"/>
    <w:rsid w:val="003740E5"/>
    <w:rsid w:val="00386546"/>
    <w:rsid w:val="00391327"/>
    <w:rsid w:val="0039362D"/>
    <w:rsid w:val="00393F8A"/>
    <w:rsid w:val="00394232"/>
    <w:rsid w:val="003942AA"/>
    <w:rsid w:val="003978D3"/>
    <w:rsid w:val="003A0674"/>
    <w:rsid w:val="003A0F24"/>
    <w:rsid w:val="003A1B11"/>
    <w:rsid w:val="003A2E05"/>
    <w:rsid w:val="003A3629"/>
    <w:rsid w:val="003A681B"/>
    <w:rsid w:val="003A7D67"/>
    <w:rsid w:val="003C1F7D"/>
    <w:rsid w:val="003C26F7"/>
    <w:rsid w:val="003C45E5"/>
    <w:rsid w:val="003C4D4F"/>
    <w:rsid w:val="003C522E"/>
    <w:rsid w:val="003C6E68"/>
    <w:rsid w:val="003C75C3"/>
    <w:rsid w:val="003D020F"/>
    <w:rsid w:val="003D1EDF"/>
    <w:rsid w:val="003D3987"/>
    <w:rsid w:val="003E2693"/>
    <w:rsid w:val="003E27CB"/>
    <w:rsid w:val="003E2978"/>
    <w:rsid w:val="003E672B"/>
    <w:rsid w:val="003F2244"/>
    <w:rsid w:val="00400080"/>
    <w:rsid w:val="004001B9"/>
    <w:rsid w:val="00400255"/>
    <w:rsid w:val="0040163D"/>
    <w:rsid w:val="00401CAB"/>
    <w:rsid w:val="00401E4D"/>
    <w:rsid w:val="00402717"/>
    <w:rsid w:val="00412F3C"/>
    <w:rsid w:val="004146EC"/>
    <w:rsid w:val="00414F8D"/>
    <w:rsid w:val="004155E4"/>
    <w:rsid w:val="004155F4"/>
    <w:rsid w:val="00415D6C"/>
    <w:rsid w:val="00415E73"/>
    <w:rsid w:val="00422185"/>
    <w:rsid w:val="0042598C"/>
    <w:rsid w:val="00426AC1"/>
    <w:rsid w:val="00430A6F"/>
    <w:rsid w:val="00431EA1"/>
    <w:rsid w:val="0043549E"/>
    <w:rsid w:val="00435FC2"/>
    <w:rsid w:val="004362BA"/>
    <w:rsid w:val="00436846"/>
    <w:rsid w:val="00437070"/>
    <w:rsid w:val="00437351"/>
    <w:rsid w:val="004377DD"/>
    <w:rsid w:val="00441345"/>
    <w:rsid w:val="004445DE"/>
    <w:rsid w:val="00444800"/>
    <w:rsid w:val="0044540F"/>
    <w:rsid w:val="0045203D"/>
    <w:rsid w:val="00454A8B"/>
    <w:rsid w:val="004579D9"/>
    <w:rsid w:val="004619A0"/>
    <w:rsid w:val="00462FF4"/>
    <w:rsid w:val="00463276"/>
    <w:rsid w:val="00463DE5"/>
    <w:rsid w:val="00464190"/>
    <w:rsid w:val="00465B59"/>
    <w:rsid w:val="004671EE"/>
    <w:rsid w:val="004675C5"/>
    <w:rsid w:val="004721D3"/>
    <w:rsid w:val="00473B2E"/>
    <w:rsid w:val="004745C4"/>
    <w:rsid w:val="00476F94"/>
    <w:rsid w:val="0047760A"/>
    <w:rsid w:val="00480292"/>
    <w:rsid w:val="00480C6F"/>
    <w:rsid w:val="00482625"/>
    <w:rsid w:val="0049133E"/>
    <w:rsid w:val="0049162D"/>
    <w:rsid w:val="00491C64"/>
    <w:rsid w:val="004A0205"/>
    <w:rsid w:val="004A2A7B"/>
    <w:rsid w:val="004A3AD4"/>
    <w:rsid w:val="004A635D"/>
    <w:rsid w:val="004B007A"/>
    <w:rsid w:val="004B1061"/>
    <w:rsid w:val="004B77D7"/>
    <w:rsid w:val="004C045A"/>
    <w:rsid w:val="004D00FB"/>
    <w:rsid w:val="004D2920"/>
    <w:rsid w:val="004D3410"/>
    <w:rsid w:val="004D7261"/>
    <w:rsid w:val="004E0554"/>
    <w:rsid w:val="004E0839"/>
    <w:rsid w:val="004E29BB"/>
    <w:rsid w:val="004E403D"/>
    <w:rsid w:val="004E629B"/>
    <w:rsid w:val="004E6D30"/>
    <w:rsid w:val="004E76DD"/>
    <w:rsid w:val="004F16A4"/>
    <w:rsid w:val="004F3462"/>
    <w:rsid w:val="00504828"/>
    <w:rsid w:val="00506409"/>
    <w:rsid w:val="00507F45"/>
    <w:rsid w:val="0051787E"/>
    <w:rsid w:val="00520DA3"/>
    <w:rsid w:val="0052140E"/>
    <w:rsid w:val="005215E5"/>
    <w:rsid w:val="00522C73"/>
    <w:rsid w:val="005253C3"/>
    <w:rsid w:val="0052681A"/>
    <w:rsid w:val="005317FF"/>
    <w:rsid w:val="0053200B"/>
    <w:rsid w:val="00532847"/>
    <w:rsid w:val="00533FAB"/>
    <w:rsid w:val="005349A2"/>
    <w:rsid w:val="00536F18"/>
    <w:rsid w:val="00537A8C"/>
    <w:rsid w:val="005456B0"/>
    <w:rsid w:val="00550791"/>
    <w:rsid w:val="00552EAD"/>
    <w:rsid w:val="00553212"/>
    <w:rsid w:val="0055345F"/>
    <w:rsid w:val="005602B5"/>
    <w:rsid w:val="00560A88"/>
    <w:rsid w:val="00563B0A"/>
    <w:rsid w:val="00563D2B"/>
    <w:rsid w:val="00564A59"/>
    <w:rsid w:val="00567176"/>
    <w:rsid w:val="005719EC"/>
    <w:rsid w:val="00571D91"/>
    <w:rsid w:val="005729EC"/>
    <w:rsid w:val="005861EC"/>
    <w:rsid w:val="00586A3A"/>
    <w:rsid w:val="005928FE"/>
    <w:rsid w:val="00593389"/>
    <w:rsid w:val="00595A02"/>
    <w:rsid w:val="005A5470"/>
    <w:rsid w:val="005A6082"/>
    <w:rsid w:val="005A6C0B"/>
    <w:rsid w:val="005B0899"/>
    <w:rsid w:val="005B0CEB"/>
    <w:rsid w:val="005B644A"/>
    <w:rsid w:val="005C093C"/>
    <w:rsid w:val="005C2D56"/>
    <w:rsid w:val="005C3198"/>
    <w:rsid w:val="005C4FBC"/>
    <w:rsid w:val="005C7397"/>
    <w:rsid w:val="005D0583"/>
    <w:rsid w:val="005D1013"/>
    <w:rsid w:val="005D31D6"/>
    <w:rsid w:val="005D4B8E"/>
    <w:rsid w:val="005D4EB4"/>
    <w:rsid w:val="005D7BBF"/>
    <w:rsid w:val="005E25CD"/>
    <w:rsid w:val="005E2D9E"/>
    <w:rsid w:val="005F01EA"/>
    <w:rsid w:val="005F0680"/>
    <w:rsid w:val="005F45D6"/>
    <w:rsid w:val="005F6A4E"/>
    <w:rsid w:val="006009DC"/>
    <w:rsid w:val="00600B0E"/>
    <w:rsid w:val="00603F85"/>
    <w:rsid w:val="00605CE7"/>
    <w:rsid w:val="00612B0C"/>
    <w:rsid w:val="0061427F"/>
    <w:rsid w:val="00615E77"/>
    <w:rsid w:val="00622ED1"/>
    <w:rsid w:val="0062375C"/>
    <w:rsid w:val="006300D1"/>
    <w:rsid w:val="00632ADC"/>
    <w:rsid w:val="0063354B"/>
    <w:rsid w:val="006363F4"/>
    <w:rsid w:val="00643205"/>
    <w:rsid w:val="006461E3"/>
    <w:rsid w:val="00651A3B"/>
    <w:rsid w:val="006571DE"/>
    <w:rsid w:val="00673B84"/>
    <w:rsid w:val="006761CA"/>
    <w:rsid w:val="00677494"/>
    <w:rsid w:val="00681CED"/>
    <w:rsid w:val="006878F9"/>
    <w:rsid w:val="00687CD6"/>
    <w:rsid w:val="0069186C"/>
    <w:rsid w:val="00694DEE"/>
    <w:rsid w:val="006961C9"/>
    <w:rsid w:val="00696371"/>
    <w:rsid w:val="006A0B41"/>
    <w:rsid w:val="006A0E5D"/>
    <w:rsid w:val="006A14B6"/>
    <w:rsid w:val="006A2C78"/>
    <w:rsid w:val="006A3A4C"/>
    <w:rsid w:val="006A5DD8"/>
    <w:rsid w:val="006A70C6"/>
    <w:rsid w:val="006A71EA"/>
    <w:rsid w:val="006A78FA"/>
    <w:rsid w:val="006B44BF"/>
    <w:rsid w:val="006C053E"/>
    <w:rsid w:val="006C2E63"/>
    <w:rsid w:val="006C311B"/>
    <w:rsid w:val="006C3AC2"/>
    <w:rsid w:val="006C6576"/>
    <w:rsid w:val="006C665A"/>
    <w:rsid w:val="006C7885"/>
    <w:rsid w:val="006D5AEB"/>
    <w:rsid w:val="006D69F4"/>
    <w:rsid w:val="006D6DB3"/>
    <w:rsid w:val="006E640D"/>
    <w:rsid w:val="006E6500"/>
    <w:rsid w:val="006F0CA3"/>
    <w:rsid w:val="006F2A6C"/>
    <w:rsid w:val="006F2D63"/>
    <w:rsid w:val="006F325E"/>
    <w:rsid w:val="006F5CA8"/>
    <w:rsid w:val="00700C5A"/>
    <w:rsid w:val="00702CEE"/>
    <w:rsid w:val="00702D28"/>
    <w:rsid w:val="007035E3"/>
    <w:rsid w:val="00703E97"/>
    <w:rsid w:val="00704621"/>
    <w:rsid w:val="007065D9"/>
    <w:rsid w:val="0070720B"/>
    <w:rsid w:val="007136E7"/>
    <w:rsid w:val="007200BB"/>
    <w:rsid w:val="00722644"/>
    <w:rsid w:val="00723279"/>
    <w:rsid w:val="00723730"/>
    <w:rsid w:val="00734B55"/>
    <w:rsid w:val="00736932"/>
    <w:rsid w:val="0073718D"/>
    <w:rsid w:val="0074295C"/>
    <w:rsid w:val="00747485"/>
    <w:rsid w:val="00752124"/>
    <w:rsid w:val="00756800"/>
    <w:rsid w:val="00760ED9"/>
    <w:rsid w:val="00761C17"/>
    <w:rsid w:val="00762402"/>
    <w:rsid w:val="00763C6F"/>
    <w:rsid w:val="00764DC1"/>
    <w:rsid w:val="00767767"/>
    <w:rsid w:val="0077065E"/>
    <w:rsid w:val="007737E6"/>
    <w:rsid w:val="00780945"/>
    <w:rsid w:val="0078296C"/>
    <w:rsid w:val="007839DA"/>
    <w:rsid w:val="00787568"/>
    <w:rsid w:val="0079559C"/>
    <w:rsid w:val="007978C5"/>
    <w:rsid w:val="007A5384"/>
    <w:rsid w:val="007B11BA"/>
    <w:rsid w:val="007B2EA3"/>
    <w:rsid w:val="007B724F"/>
    <w:rsid w:val="007C317F"/>
    <w:rsid w:val="007D1AF6"/>
    <w:rsid w:val="007D20CA"/>
    <w:rsid w:val="007D336C"/>
    <w:rsid w:val="007D3A6B"/>
    <w:rsid w:val="007D3FF4"/>
    <w:rsid w:val="007D607C"/>
    <w:rsid w:val="007D6F2A"/>
    <w:rsid w:val="007D71D7"/>
    <w:rsid w:val="007E0CF5"/>
    <w:rsid w:val="007E2AB8"/>
    <w:rsid w:val="007E4AE7"/>
    <w:rsid w:val="007E61BF"/>
    <w:rsid w:val="007E7DBB"/>
    <w:rsid w:val="007F0542"/>
    <w:rsid w:val="007F60A4"/>
    <w:rsid w:val="007F72A2"/>
    <w:rsid w:val="007F72FE"/>
    <w:rsid w:val="007F7B41"/>
    <w:rsid w:val="00801075"/>
    <w:rsid w:val="008027EF"/>
    <w:rsid w:val="00807573"/>
    <w:rsid w:val="00810702"/>
    <w:rsid w:val="00811F7A"/>
    <w:rsid w:val="008120F4"/>
    <w:rsid w:val="00815350"/>
    <w:rsid w:val="00827948"/>
    <w:rsid w:val="0083063B"/>
    <w:rsid w:val="0083326C"/>
    <w:rsid w:val="00833A80"/>
    <w:rsid w:val="008349F7"/>
    <w:rsid w:val="008403F0"/>
    <w:rsid w:val="00841187"/>
    <w:rsid w:val="00841516"/>
    <w:rsid w:val="0084190C"/>
    <w:rsid w:val="008419A9"/>
    <w:rsid w:val="0084791B"/>
    <w:rsid w:val="008533AF"/>
    <w:rsid w:val="00854879"/>
    <w:rsid w:val="008554D6"/>
    <w:rsid w:val="00855BE3"/>
    <w:rsid w:val="00855DE2"/>
    <w:rsid w:val="00855F01"/>
    <w:rsid w:val="00856FBC"/>
    <w:rsid w:val="00861E1A"/>
    <w:rsid w:val="00863845"/>
    <w:rsid w:val="00865233"/>
    <w:rsid w:val="00865839"/>
    <w:rsid w:val="00870530"/>
    <w:rsid w:val="008719E3"/>
    <w:rsid w:val="008838FA"/>
    <w:rsid w:val="00890263"/>
    <w:rsid w:val="00892C16"/>
    <w:rsid w:val="00894034"/>
    <w:rsid w:val="008951B9"/>
    <w:rsid w:val="00897229"/>
    <w:rsid w:val="00897AB8"/>
    <w:rsid w:val="008A071D"/>
    <w:rsid w:val="008A1A97"/>
    <w:rsid w:val="008A2131"/>
    <w:rsid w:val="008A3668"/>
    <w:rsid w:val="008A482E"/>
    <w:rsid w:val="008A69C0"/>
    <w:rsid w:val="008B3281"/>
    <w:rsid w:val="008C07FA"/>
    <w:rsid w:val="008C1004"/>
    <w:rsid w:val="008C1817"/>
    <w:rsid w:val="008C28B5"/>
    <w:rsid w:val="008C3DF6"/>
    <w:rsid w:val="008C6FE8"/>
    <w:rsid w:val="008D0AE1"/>
    <w:rsid w:val="008D4424"/>
    <w:rsid w:val="008D63C2"/>
    <w:rsid w:val="008D720C"/>
    <w:rsid w:val="008E281B"/>
    <w:rsid w:val="008E3435"/>
    <w:rsid w:val="008E346A"/>
    <w:rsid w:val="008E3AC5"/>
    <w:rsid w:val="008E4AD2"/>
    <w:rsid w:val="008E761A"/>
    <w:rsid w:val="00901EB5"/>
    <w:rsid w:val="00902565"/>
    <w:rsid w:val="009028BE"/>
    <w:rsid w:val="00905778"/>
    <w:rsid w:val="00911F06"/>
    <w:rsid w:val="0091242C"/>
    <w:rsid w:val="009131A1"/>
    <w:rsid w:val="00913D5D"/>
    <w:rsid w:val="00920129"/>
    <w:rsid w:val="00926AC4"/>
    <w:rsid w:val="00927D17"/>
    <w:rsid w:val="009300D6"/>
    <w:rsid w:val="00930620"/>
    <w:rsid w:val="0093153E"/>
    <w:rsid w:val="00935E1B"/>
    <w:rsid w:val="00936AC5"/>
    <w:rsid w:val="009402C8"/>
    <w:rsid w:val="0094080A"/>
    <w:rsid w:val="009432B9"/>
    <w:rsid w:val="009442DD"/>
    <w:rsid w:val="00946F83"/>
    <w:rsid w:val="00947443"/>
    <w:rsid w:val="00951488"/>
    <w:rsid w:val="00956060"/>
    <w:rsid w:val="00956780"/>
    <w:rsid w:val="0095701E"/>
    <w:rsid w:val="0096082C"/>
    <w:rsid w:val="00961893"/>
    <w:rsid w:val="00965DF1"/>
    <w:rsid w:val="0096727F"/>
    <w:rsid w:val="00972B40"/>
    <w:rsid w:val="009751B3"/>
    <w:rsid w:val="009765CC"/>
    <w:rsid w:val="009765EC"/>
    <w:rsid w:val="009775FE"/>
    <w:rsid w:val="00980270"/>
    <w:rsid w:val="0098212C"/>
    <w:rsid w:val="009849E0"/>
    <w:rsid w:val="00985933"/>
    <w:rsid w:val="00985F8A"/>
    <w:rsid w:val="0099308F"/>
    <w:rsid w:val="00994C77"/>
    <w:rsid w:val="009968F1"/>
    <w:rsid w:val="009A3689"/>
    <w:rsid w:val="009B0AAB"/>
    <w:rsid w:val="009B37E6"/>
    <w:rsid w:val="009B565F"/>
    <w:rsid w:val="009B5CD3"/>
    <w:rsid w:val="009B6432"/>
    <w:rsid w:val="009C0EA5"/>
    <w:rsid w:val="009C2C33"/>
    <w:rsid w:val="009C661F"/>
    <w:rsid w:val="009C719C"/>
    <w:rsid w:val="009D16FA"/>
    <w:rsid w:val="009D366E"/>
    <w:rsid w:val="009D4271"/>
    <w:rsid w:val="009D5558"/>
    <w:rsid w:val="009D7AE7"/>
    <w:rsid w:val="009E5CA5"/>
    <w:rsid w:val="009F2B47"/>
    <w:rsid w:val="009F3344"/>
    <w:rsid w:val="009F392C"/>
    <w:rsid w:val="009F4522"/>
    <w:rsid w:val="009F4936"/>
    <w:rsid w:val="009F7D5E"/>
    <w:rsid w:val="00A03717"/>
    <w:rsid w:val="00A04FFB"/>
    <w:rsid w:val="00A06FE6"/>
    <w:rsid w:val="00A078F3"/>
    <w:rsid w:val="00A11E88"/>
    <w:rsid w:val="00A1346E"/>
    <w:rsid w:val="00A14A06"/>
    <w:rsid w:val="00A16350"/>
    <w:rsid w:val="00A1756E"/>
    <w:rsid w:val="00A243B9"/>
    <w:rsid w:val="00A25991"/>
    <w:rsid w:val="00A275EB"/>
    <w:rsid w:val="00A32340"/>
    <w:rsid w:val="00A34DE8"/>
    <w:rsid w:val="00A367D6"/>
    <w:rsid w:val="00A42603"/>
    <w:rsid w:val="00A50FC6"/>
    <w:rsid w:val="00A52CB6"/>
    <w:rsid w:val="00A53196"/>
    <w:rsid w:val="00A60F75"/>
    <w:rsid w:val="00A6184F"/>
    <w:rsid w:val="00A6380C"/>
    <w:rsid w:val="00A64E0E"/>
    <w:rsid w:val="00A72971"/>
    <w:rsid w:val="00A732C0"/>
    <w:rsid w:val="00A7478F"/>
    <w:rsid w:val="00A777B3"/>
    <w:rsid w:val="00A831BF"/>
    <w:rsid w:val="00A86143"/>
    <w:rsid w:val="00A86FDD"/>
    <w:rsid w:val="00A90488"/>
    <w:rsid w:val="00A94C3A"/>
    <w:rsid w:val="00A9514E"/>
    <w:rsid w:val="00A9583F"/>
    <w:rsid w:val="00A95D92"/>
    <w:rsid w:val="00AA7B09"/>
    <w:rsid w:val="00AA7DED"/>
    <w:rsid w:val="00AB0462"/>
    <w:rsid w:val="00AB23BC"/>
    <w:rsid w:val="00AB7E00"/>
    <w:rsid w:val="00AC0BB3"/>
    <w:rsid w:val="00AC1942"/>
    <w:rsid w:val="00AC3571"/>
    <w:rsid w:val="00AC3AD0"/>
    <w:rsid w:val="00AC3D34"/>
    <w:rsid w:val="00AC4A03"/>
    <w:rsid w:val="00AD1000"/>
    <w:rsid w:val="00AD200D"/>
    <w:rsid w:val="00AD2295"/>
    <w:rsid w:val="00AD24AB"/>
    <w:rsid w:val="00AD607E"/>
    <w:rsid w:val="00AD6767"/>
    <w:rsid w:val="00AE2B37"/>
    <w:rsid w:val="00AE3A6B"/>
    <w:rsid w:val="00AE5264"/>
    <w:rsid w:val="00AE6402"/>
    <w:rsid w:val="00AE6433"/>
    <w:rsid w:val="00AE71D2"/>
    <w:rsid w:val="00AF23BB"/>
    <w:rsid w:val="00AF4817"/>
    <w:rsid w:val="00AF5CE5"/>
    <w:rsid w:val="00B1054C"/>
    <w:rsid w:val="00B11EBB"/>
    <w:rsid w:val="00B1567E"/>
    <w:rsid w:val="00B165A3"/>
    <w:rsid w:val="00B271A8"/>
    <w:rsid w:val="00B27F6C"/>
    <w:rsid w:val="00B306AB"/>
    <w:rsid w:val="00B314B8"/>
    <w:rsid w:val="00B31979"/>
    <w:rsid w:val="00B3367C"/>
    <w:rsid w:val="00B35243"/>
    <w:rsid w:val="00B4216F"/>
    <w:rsid w:val="00B52A7B"/>
    <w:rsid w:val="00B620B0"/>
    <w:rsid w:val="00B62446"/>
    <w:rsid w:val="00B7075D"/>
    <w:rsid w:val="00B71F9D"/>
    <w:rsid w:val="00B72788"/>
    <w:rsid w:val="00B76355"/>
    <w:rsid w:val="00B76582"/>
    <w:rsid w:val="00B8169C"/>
    <w:rsid w:val="00B82E68"/>
    <w:rsid w:val="00B8566D"/>
    <w:rsid w:val="00B864E8"/>
    <w:rsid w:val="00B87EDB"/>
    <w:rsid w:val="00B91ACF"/>
    <w:rsid w:val="00B91C68"/>
    <w:rsid w:val="00B924A9"/>
    <w:rsid w:val="00B950BD"/>
    <w:rsid w:val="00B95F48"/>
    <w:rsid w:val="00B97DFA"/>
    <w:rsid w:val="00BA00FC"/>
    <w:rsid w:val="00BA324B"/>
    <w:rsid w:val="00BA5023"/>
    <w:rsid w:val="00BB04E1"/>
    <w:rsid w:val="00BB29BE"/>
    <w:rsid w:val="00BB7666"/>
    <w:rsid w:val="00BB7F62"/>
    <w:rsid w:val="00BC5A2E"/>
    <w:rsid w:val="00BC662B"/>
    <w:rsid w:val="00BD02AB"/>
    <w:rsid w:val="00BD0420"/>
    <w:rsid w:val="00BD1150"/>
    <w:rsid w:val="00BD2846"/>
    <w:rsid w:val="00BD4562"/>
    <w:rsid w:val="00BD5A19"/>
    <w:rsid w:val="00BD70CE"/>
    <w:rsid w:val="00BE23C8"/>
    <w:rsid w:val="00BE34BA"/>
    <w:rsid w:val="00BE4E72"/>
    <w:rsid w:val="00BE552F"/>
    <w:rsid w:val="00BE554F"/>
    <w:rsid w:val="00BE6EE3"/>
    <w:rsid w:val="00BE7F61"/>
    <w:rsid w:val="00BF178F"/>
    <w:rsid w:val="00BF2A57"/>
    <w:rsid w:val="00BF6EB0"/>
    <w:rsid w:val="00C00C30"/>
    <w:rsid w:val="00C02C28"/>
    <w:rsid w:val="00C05C9F"/>
    <w:rsid w:val="00C07986"/>
    <w:rsid w:val="00C07AB4"/>
    <w:rsid w:val="00C101CE"/>
    <w:rsid w:val="00C1129F"/>
    <w:rsid w:val="00C14D97"/>
    <w:rsid w:val="00C1571D"/>
    <w:rsid w:val="00C170ED"/>
    <w:rsid w:val="00C23DB1"/>
    <w:rsid w:val="00C24967"/>
    <w:rsid w:val="00C27242"/>
    <w:rsid w:val="00C272D2"/>
    <w:rsid w:val="00C27D8D"/>
    <w:rsid w:val="00C30341"/>
    <w:rsid w:val="00C305F7"/>
    <w:rsid w:val="00C31758"/>
    <w:rsid w:val="00C3233A"/>
    <w:rsid w:val="00C34710"/>
    <w:rsid w:val="00C35EE2"/>
    <w:rsid w:val="00C36028"/>
    <w:rsid w:val="00C37128"/>
    <w:rsid w:val="00C40093"/>
    <w:rsid w:val="00C40470"/>
    <w:rsid w:val="00C41CC0"/>
    <w:rsid w:val="00C435A8"/>
    <w:rsid w:val="00C44470"/>
    <w:rsid w:val="00C46C20"/>
    <w:rsid w:val="00C50F51"/>
    <w:rsid w:val="00C53617"/>
    <w:rsid w:val="00C600CB"/>
    <w:rsid w:val="00C60939"/>
    <w:rsid w:val="00C63CEA"/>
    <w:rsid w:val="00C64828"/>
    <w:rsid w:val="00C64B24"/>
    <w:rsid w:val="00C65E36"/>
    <w:rsid w:val="00C70A1D"/>
    <w:rsid w:val="00C71DCA"/>
    <w:rsid w:val="00C73F25"/>
    <w:rsid w:val="00C80DA0"/>
    <w:rsid w:val="00C8231F"/>
    <w:rsid w:val="00C900D7"/>
    <w:rsid w:val="00C9165A"/>
    <w:rsid w:val="00C919D8"/>
    <w:rsid w:val="00C93CFB"/>
    <w:rsid w:val="00C9489E"/>
    <w:rsid w:val="00C963B9"/>
    <w:rsid w:val="00C96FF5"/>
    <w:rsid w:val="00C97999"/>
    <w:rsid w:val="00CA0E6F"/>
    <w:rsid w:val="00CA1035"/>
    <w:rsid w:val="00CA5B74"/>
    <w:rsid w:val="00CA6A63"/>
    <w:rsid w:val="00CA70E6"/>
    <w:rsid w:val="00CA7969"/>
    <w:rsid w:val="00CB0AE4"/>
    <w:rsid w:val="00CB19BC"/>
    <w:rsid w:val="00CB6E28"/>
    <w:rsid w:val="00CC56C7"/>
    <w:rsid w:val="00CC5DEA"/>
    <w:rsid w:val="00CC66D8"/>
    <w:rsid w:val="00CD08A1"/>
    <w:rsid w:val="00CD2870"/>
    <w:rsid w:val="00CD28D6"/>
    <w:rsid w:val="00CD36E9"/>
    <w:rsid w:val="00CD737B"/>
    <w:rsid w:val="00CE43E7"/>
    <w:rsid w:val="00CE6206"/>
    <w:rsid w:val="00CF1A86"/>
    <w:rsid w:val="00CF1F8D"/>
    <w:rsid w:val="00CF3956"/>
    <w:rsid w:val="00CF6A2A"/>
    <w:rsid w:val="00CF6BE5"/>
    <w:rsid w:val="00D01672"/>
    <w:rsid w:val="00D04EE4"/>
    <w:rsid w:val="00D05B0F"/>
    <w:rsid w:val="00D065ED"/>
    <w:rsid w:val="00D116DC"/>
    <w:rsid w:val="00D141A4"/>
    <w:rsid w:val="00D21A79"/>
    <w:rsid w:val="00D21B35"/>
    <w:rsid w:val="00D23BB3"/>
    <w:rsid w:val="00D2403C"/>
    <w:rsid w:val="00D30718"/>
    <w:rsid w:val="00D30A02"/>
    <w:rsid w:val="00D32594"/>
    <w:rsid w:val="00D328E8"/>
    <w:rsid w:val="00D37047"/>
    <w:rsid w:val="00D5223B"/>
    <w:rsid w:val="00D538A3"/>
    <w:rsid w:val="00D53B92"/>
    <w:rsid w:val="00D540F7"/>
    <w:rsid w:val="00D5491E"/>
    <w:rsid w:val="00D55288"/>
    <w:rsid w:val="00D6097A"/>
    <w:rsid w:val="00D60ECE"/>
    <w:rsid w:val="00D612CA"/>
    <w:rsid w:val="00D61F0B"/>
    <w:rsid w:val="00D63D5C"/>
    <w:rsid w:val="00D658DA"/>
    <w:rsid w:val="00D66DA6"/>
    <w:rsid w:val="00D6726D"/>
    <w:rsid w:val="00D70C23"/>
    <w:rsid w:val="00D7317A"/>
    <w:rsid w:val="00D74210"/>
    <w:rsid w:val="00D759E7"/>
    <w:rsid w:val="00D76904"/>
    <w:rsid w:val="00D81455"/>
    <w:rsid w:val="00D81491"/>
    <w:rsid w:val="00D833A3"/>
    <w:rsid w:val="00D84635"/>
    <w:rsid w:val="00D86088"/>
    <w:rsid w:val="00D87428"/>
    <w:rsid w:val="00D87738"/>
    <w:rsid w:val="00D87E86"/>
    <w:rsid w:val="00D9090B"/>
    <w:rsid w:val="00D92F0C"/>
    <w:rsid w:val="00D941EA"/>
    <w:rsid w:val="00D95E25"/>
    <w:rsid w:val="00D9671D"/>
    <w:rsid w:val="00DA2F76"/>
    <w:rsid w:val="00DB078A"/>
    <w:rsid w:val="00DB126D"/>
    <w:rsid w:val="00DB6354"/>
    <w:rsid w:val="00DC4A74"/>
    <w:rsid w:val="00DC659F"/>
    <w:rsid w:val="00DD24A7"/>
    <w:rsid w:val="00DD7DA2"/>
    <w:rsid w:val="00DE15AE"/>
    <w:rsid w:val="00DF10CB"/>
    <w:rsid w:val="00DF28FF"/>
    <w:rsid w:val="00DF77A4"/>
    <w:rsid w:val="00E041CF"/>
    <w:rsid w:val="00E059CD"/>
    <w:rsid w:val="00E10326"/>
    <w:rsid w:val="00E164F5"/>
    <w:rsid w:val="00E223DD"/>
    <w:rsid w:val="00E22626"/>
    <w:rsid w:val="00E235BD"/>
    <w:rsid w:val="00E266C1"/>
    <w:rsid w:val="00E31BE2"/>
    <w:rsid w:val="00E32567"/>
    <w:rsid w:val="00E33A03"/>
    <w:rsid w:val="00E35C80"/>
    <w:rsid w:val="00E4368C"/>
    <w:rsid w:val="00E439B7"/>
    <w:rsid w:val="00E44FD3"/>
    <w:rsid w:val="00E4664D"/>
    <w:rsid w:val="00E46CD6"/>
    <w:rsid w:val="00E50981"/>
    <w:rsid w:val="00E52EDF"/>
    <w:rsid w:val="00E535A5"/>
    <w:rsid w:val="00E573BC"/>
    <w:rsid w:val="00E6522B"/>
    <w:rsid w:val="00E662B3"/>
    <w:rsid w:val="00E67B60"/>
    <w:rsid w:val="00E71550"/>
    <w:rsid w:val="00E74581"/>
    <w:rsid w:val="00E76428"/>
    <w:rsid w:val="00E808AF"/>
    <w:rsid w:val="00E811E5"/>
    <w:rsid w:val="00E83FC7"/>
    <w:rsid w:val="00E85F6F"/>
    <w:rsid w:val="00E86707"/>
    <w:rsid w:val="00E90264"/>
    <w:rsid w:val="00E93736"/>
    <w:rsid w:val="00EA2870"/>
    <w:rsid w:val="00EA3A80"/>
    <w:rsid w:val="00EA4C78"/>
    <w:rsid w:val="00EA5985"/>
    <w:rsid w:val="00EB04C5"/>
    <w:rsid w:val="00EB2450"/>
    <w:rsid w:val="00EB24B9"/>
    <w:rsid w:val="00EB2EC2"/>
    <w:rsid w:val="00EB55BD"/>
    <w:rsid w:val="00EB6DB7"/>
    <w:rsid w:val="00EB710A"/>
    <w:rsid w:val="00EC0BC9"/>
    <w:rsid w:val="00EC37D3"/>
    <w:rsid w:val="00EC3ED1"/>
    <w:rsid w:val="00EC4495"/>
    <w:rsid w:val="00EC4A2B"/>
    <w:rsid w:val="00EC562F"/>
    <w:rsid w:val="00ED0F63"/>
    <w:rsid w:val="00ED2F64"/>
    <w:rsid w:val="00ED7C02"/>
    <w:rsid w:val="00EE0D9E"/>
    <w:rsid w:val="00EE473E"/>
    <w:rsid w:val="00EE5C61"/>
    <w:rsid w:val="00EE6EC9"/>
    <w:rsid w:val="00EF070E"/>
    <w:rsid w:val="00EF2A66"/>
    <w:rsid w:val="00EF5CED"/>
    <w:rsid w:val="00EF7669"/>
    <w:rsid w:val="00F01DC5"/>
    <w:rsid w:val="00F024A6"/>
    <w:rsid w:val="00F07877"/>
    <w:rsid w:val="00F10989"/>
    <w:rsid w:val="00F10DE2"/>
    <w:rsid w:val="00F171B8"/>
    <w:rsid w:val="00F20305"/>
    <w:rsid w:val="00F20582"/>
    <w:rsid w:val="00F21266"/>
    <w:rsid w:val="00F23ABD"/>
    <w:rsid w:val="00F25DD7"/>
    <w:rsid w:val="00F27668"/>
    <w:rsid w:val="00F31099"/>
    <w:rsid w:val="00F32637"/>
    <w:rsid w:val="00F33BED"/>
    <w:rsid w:val="00F354B7"/>
    <w:rsid w:val="00F408D2"/>
    <w:rsid w:val="00F41C58"/>
    <w:rsid w:val="00F426CB"/>
    <w:rsid w:val="00F431AB"/>
    <w:rsid w:val="00F43E70"/>
    <w:rsid w:val="00F442E1"/>
    <w:rsid w:val="00F45290"/>
    <w:rsid w:val="00F45D9C"/>
    <w:rsid w:val="00F47A6A"/>
    <w:rsid w:val="00F47C6E"/>
    <w:rsid w:val="00F522F0"/>
    <w:rsid w:val="00F5330B"/>
    <w:rsid w:val="00F54202"/>
    <w:rsid w:val="00F5479C"/>
    <w:rsid w:val="00F56ED1"/>
    <w:rsid w:val="00F61399"/>
    <w:rsid w:val="00F648D7"/>
    <w:rsid w:val="00F656A4"/>
    <w:rsid w:val="00F65E05"/>
    <w:rsid w:val="00F665D7"/>
    <w:rsid w:val="00F67CDC"/>
    <w:rsid w:val="00F67DD0"/>
    <w:rsid w:val="00F70328"/>
    <w:rsid w:val="00F71C64"/>
    <w:rsid w:val="00F72564"/>
    <w:rsid w:val="00F74AFF"/>
    <w:rsid w:val="00F7783A"/>
    <w:rsid w:val="00F82C7F"/>
    <w:rsid w:val="00F84445"/>
    <w:rsid w:val="00F86377"/>
    <w:rsid w:val="00F863A9"/>
    <w:rsid w:val="00F954A9"/>
    <w:rsid w:val="00F96138"/>
    <w:rsid w:val="00F97C5E"/>
    <w:rsid w:val="00FA0A19"/>
    <w:rsid w:val="00FA32AD"/>
    <w:rsid w:val="00FA5D7F"/>
    <w:rsid w:val="00FA7E7A"/>
    <w:rsid w:val="00FB0B47"/>
    <w:rsid w:val="00FB1BA1"/>
    <w:rsid w:val="00FB4A7B"/>
    <w:rsid w:val="00FC15BF"/>
    <w:rsid w:val="00FC5EA0"/>
    <w:rsid w:val="00FC6002"/>
    <w:rsid w:val="00FC786E"/>
    <w:rsid w:val="00FC7CDB"/>
    <w:rsid w:val="00FD0068"/>
    <w:rsid w:val="00FD2A52"/>
    <w:rsid w:val="00FE048E"/>
    <w:rsid w:val="00FE1205"/>
    <w:rsid w:val="00FE339A"/>
    <w:rsid w:val="00FE4FD0"/>
    <w:rsid w:val="00FE7480"/>
    <w:rsid w:val="00FF0E59"/>
    <w:rsid w:val="00FF0F57"/>
    <w:rsid w:val="00FF4C48"/>
    <w:rsid w:val="00FF5709"/>
    <w:rsid w:val="00FF7F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09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F4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9"/>
    <w:semiHidden/>
    <w:unhideWhenUsed/>
    <w:qFormat/>
    <w:rsid w:val="004D7261"/>
    <w:pPr>
      <w:keepNext/>
      <w:numPr>
        <w:ilvl w:val="3"/>
        <w:numId w:val="3"/>
      </w:numPr>
      <w:spacing w:before="240" w:after="60"/>
      <w:jc w:val="both"/>
      <w:outlineLvl w:val="3"/>
    </w:pPr>
    <w:rPr>
      <w:rFonts w:ascii="Calibri" w:hAnsi="Calibri"/>
      <w:b/>
      <w:bCs/>
      <w:sz w:val="28"/>
      <w:szCs w:val="28"/>
    </w:rPr>
  </w:style>
  <w:style w:type="paragraph" w:styleId="Nadpis5">
    <w:name w:val="heading 5"/>
    <w:basedOn w:val="Normln"/>
    <w:next w:val="Normln"/>
    <w:link w:val="Nadpis5Char"/>
    <w:uiPriority w:val="99"/>
    <w:semiHidden/>
    <w:unhideWhenUsed/>
    <w:qFormat/>
    <w:rsid w:val="004D7261"/>
    <w:pPr>
      <w:numPr>
        <w:ilvl w:val="4"/>
        <w:numId w:val="3"/>
      </w:numPr>
      <w:spacing w:before="240" w:after="60"/>
      <w:jc w:val="both"/>
      <w:outlineLvl w:val="4"/>
    </w:pPr>
    <w:rPr>
      <w:rFonts w:ascii="Calibri" w:hAnsi="Calibri"/>
      <w:b/>
      <w:bCs/>
      <w:i/>
      <w:iCs/>
      <w:sz w:val="26"/>
      <w:szCs w:val="26"/>
    </w:rPr>
  </w:style>
  <w:style w:type="paragraph" w:styleId="Nadpis6">
    <w:name w:val="heading 6"/>
    <w:basedOn w:val="Normln"/>
    <w:next w:val="Normln"/>
    <w:link w:val="Nadpis6Char"/>
    <w:uiPriority w:val="99"/>
    <w:semiHidden/>
    <w:unhideWhenUsed/>
    <w:qFormat/>
    <w:rsid w:val="004D7261"/>
    <w:pPr>
      <w:numPr>
        <w:ilvl w:val="5"/>
        <w:numId w:val="3"/>
      </w:numPr>
      <w:spacing w:before="240" w:after="60"/>
      <w:jc w:val="both"/>
      <w:outlineLvl w:val="5"/>
    </w:pPr>
    <w:rPr>
      <w:rFonts w:ascii="Calibri" w:hAnsi="Calibri"/>
      <w:b/>
      <w:bCs/>
      <w:sz w:val="20"/>
      <w:szCs w:val="20"/>
    </w:rPr>
  </w:style>
  <w:style w:type="paragraph" w:styleId="Nadpis7">
    <w:name w:val="heading 7"/>
    <w:basedOn w:val="Normln"/>
    <w:next w:val="Normln"/>
    <w:link w:val="Nadpis7Char"/>
    <w:uiPriority w:val="99"/>
    <w:semiHidden/>
    <w:unhideWhenUsed/>
    <w:qFormat/>
    <w:rsid w:val="004D7261"/>
    <w:pPr>
      <w:numPr>
        <w:ilvl w:val="6"/>
        <w:numId w:val="3"/>
      </w:numPr>
      <w:spacing w:before="240" w:after="60"/>
      <w:jc w:val="both"/>
      <w:outlineLvl w:val="6"/>
    </w:pPr>
    <w:rPr>
      <w:rFonts w:ascii="Calibri" w:hAnsi="Calibri"/>
    </w:rPr>
  </w:style>
  <w:style w:type="paragraph" w:styleId="Nadpis8">
    <w:name w:val="heading 8"/>
    <w:basedOn w:val="Normln"/>
    <w:next w:val="Normln"/>
    <w:link w:val="Nadpis8Char"/>
    <w:uiPriority w:val="99"/>
    <w:semiHidden/>
    <w:unhideWhenUsed/>
    <w:qFormat/>
    <w:rsid w:val="004D7261"/>
    <w:pPr>
      <w:numPr>
        <w:ilvl w:val="7"/>
        <w:numId w:val="3"/>
      </w:numPr>
      <w:spacing w:before="240" w:after="60"/>
      <w:jc w:val="both"/>
      <w:outlineLvl w:val="7"/>
    </w:pPr>
    <w:rPr>
      <w:rFonts w:ascii="Calibri" w:hAnsi="Calibri"/>
      <w:i/>
      <w:iCs/>
    </w:rPr>
  </w:style>
  <w:style w:type="paragraph" w:styleId="Nadpis9">
    <w:name w:val="heading 9"/>
    <w:basedOn w:val="Normln"/>
    <w:next w:val="Normln"/>
    <w:link w:val="Nadpis9Char"/>
    <w:uiPriority w:val="99"/>
    <w:semiHidden/>
    <w:unhideWhenUsed/>
    <w:qFormat/>
    <w:rsid w:val="004D7261"/>
    <w:pPr>
      <w:numPr>
        <w:ilvl w:val="8"/>
        <w:numId w:val="3"/>
      </w:numPr>
      <w:spacing w:before="240" w:after="60"/>
      <w:jc w:val="both"/>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6097A"/>
    <w:rPr>
      <w:rFonts w:cs="Times New Roman"/>
      <w:color w:val="0000FF"/>
      <w:u w:val="single"/>
    </w:rPr>
  </w:style>
  <w:style w:type="paragraph" w:styleId="Zpat">
    <w:name w:val="footer"/>
    <w:basedOn w:val="Normln"/>
    <w:link w:val="ZpatChar"/>
    <w:uiPriority w:val="99"/>
    <w:rsid w:val="00D6097A"/>
    <w:pPr>
      <w:tabs>
        <w:tab w:val="center" w:pos="4536"/>
        <w:tab w:val="right" w:pos="9072"/>
      </w:tabs>
    </w:pPr>
    <w:rPr>
      <w:rFonts w:ascii="Calibri" w:hAnsi="Calibri" w:cs="Calibri"/>
      <w:sz w:val="22"/>
      <w:szCs w:val="22"/>
      <w:lang w:eastAsia="en-US"/>
    </w:rPr>
  </w:style>
  <w:style w:type="character" w:customStyle="1" w:styleId="ZpatChar">
    <w:name w:val="Zápatí Char"/>
    <w:basedOn w:val="Standardnpsmoodstavce"/>
    <w:link w:val="Zpat"/>
    <w:uiPriority w:val="99"/>
    <w:rsid w:val="00D6097A"/>
    <w:rPr>
      <w:rFonts w:ascii="Calibri" w:eastAsia="Times New Roman" w:hAnsi="Calibri" w:cs="Calibri"/>
    </w:rPr>
  </w:style>
  <w:style w:type="character" w:styleId="Odkaznakoment">
    <w:name w:val="annotation reference"/>
    <w:basedOn w:val="Standardnpsmoodstavce"/>
    <w:semiHidden/>
    <w:rsid w:val="00D6097A"/>
    <w:rPr>
      <w:sz w:val="16"/>
      <w:szCs w:val="16"/>
    </w:rPr>
  </w:style>
  <w:style w:type="paragraph" w:styleId="Textkomente">
    <w:name w:val="annotation text"/>
    <w:basedOn w:val="Normln"/>
    <w:link w:val="TextkomenteChar"/>
    <w:semiHidden/>
    <w:rsid w:val="00D6097A"/>
    <w:rPr>
      <w:sz w:val="20"/>
      <w:szCs w:val="20"/>
    </w:rPr>
  </w:style>
  <w:style w:type="character" w:customStyle="1" w:styleId="TextkomenteChar">
    <w:name w:val="Text komentáře Char"/>
    <w:basedOn w:val="Standardnpsmoodstavce"/>
    <w:link w:val="Textkomente"/>
    <w:semiHidden/>
    <w:rsid w:val="00D6097A"/>
    <w:rPr>
      <w:rFonts w:ascii="Times New Roman" w:eastAsia="Times New Roman" w:hAnsi="Times New Roman" w:cs="Times New Roman"/>
      <w:sz w:val="20"/>
      <w:szCs w:val="20"/>
      <w:lang w:eastAsia="cs-CZ"/>
    </w:rPr>
  </w:style>
  <w:style w:type="character" w:styleId="slostrnky">
    <w:name w:val="page number"/>
    <w:basedOn w:val="Standardnpsmoodstavce"/>
    <w:rsid w:val="00D6097A"/>
  </w:style>
  <w:style w:type="paragraph" w:styleId="Textbubliny">
    <w:name w:val="Balloon Text"/>
    <w:basedOn w:val="Normln"/>
    <w:link w:val="TextbublinyChar"/>
    <w:uiPriority w:val="99"/>
    <w:semiHidden/>
    <w:unhideWhenUsed/>
    <w:rsid w:val="00D6097A"/>
    <w:rPr>
      <w:rFonts w:ascii="Tahoma" w:hAnsi="Tahoma" w:cs="Tahoma"/>
      <w:sz w:val="16"/>
      <w:szCs w:val="16"/>
    </w:rPr>
  </w:style>
  <w:style w:type="character" w:customStyle="1" w:styleId="TextbublinyChar">
    <w:name w:val="Text bubliny Char"/>
    <w:basedOn w:val="Standardnpsmoodstavce"/>
    <w:link w:val="Textbubliny"/>
    <w:uiPriority w:val="99"/>
    <w:semiHidden/>
    <w:rsid w:val="00D6097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D6097A"/>
    <w:rPr>
      <w:b/>
      <w:bCs/>
    </w:rPr>
  </w:style>
  <w:style w:type="character" w:customStyle="1" w:styleId="PedmtkomenteChar">
    <w:name w:val="Předmět komentáře Char"/>
    <w:basedOn w:val="TextkomenteChar"/>
    <w:link w:val="Pedmtkomente"/>
    <w:uiPriority w:val="99"/>
    <w:semiHidden/>
    <w:rsid w:val="00D6097A"/>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46F83"/>
    <w:pPr>
      <w:ind w:left="720"/>
      <w:contextualSpacing/>
    </w:pPr>
  </w:style>
  <w:style w:type="paragraph" w:styleId="Textpoznpodarou">
    <w:name w:val="footnote text"/>
    <w:basedOn w:val="Normln"/>
    <w:link w:val="TextpoznpodarouChar"/>
    <w:rsid w:val="00B31979"/>
    <w:pPr>
      <w:spacing w:before="120"/>
      <w:jc w:val="both"/>
    </w:pPr>
    <w:rPr>
      <w:sz w:val="20"/>
      <w:szCs w:val="20"/>
    </w:rPr>
  </w:style>
  <w:style w:type="character" w:customStyle="1" w:styleId="TextpoznpodarouChar">
    <w:name w:val="Text pozn. pod čarou Char"/>
    <w:basedOn w:val="Standardnpsmoodstavce"/>
    <w:link w:val="Textpoznpodarou"/>
    <w:rsid w:val="00B3197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855F01"/>
    <w:rPr>
      <w:vertAlign w:val="superscript"/>
    </w:rPr>
  </w:style>
  <w:style w:type="paragraph" w:customStyle="1" w:styleId="Style1">
    <w:name w:val="Style 1"/>
    <w:basedOn w:val="Normln"/>
    <w:uiPriority w:val="99"/>
    <w:rsid w:val="00B314B8"/>
    <w:pPr>
      <w:widowControl w:val="0"/>
      <w:autoSpaceDE w:val="0"/>
      <w:autoSpaceDN w:val="0"/>
      <w:ind w:right="144" w:firstLine="720"/>
      <w:jc w:val="both"/>
    </w:pPr>
  </w:style>
  <w:style w:type="paragraph" w:customStyle="1" w:styleId="NADPISCENTR">
    <w:name w:val="NADPIS CENTR"/>
    <w:basedOn w:val="Normln"/>
    <w:rsid w:val="00A6184F"/>
    <w:pPr>
      <w:keepNext/>
      <w:keepLines/>
      <w:overflowPunct w:val="0"/>
      <w:autoSpaceDE w:val="0"/>
      <w:autoSpaceDN w:val="0"/>
      <w:adjustRightInd w:val="0"/>
      <w:spacing w:before="240" w:after="60"/>
      <w:jc w:val="center"/>
    </w:pPr>
    <w:rPr>
      <w:b/>
      <w:sz w:val="20"/>
      <w:szCs w:val="20"/>
    </w:rPr>
  </w:style>
  <w:style w:type="paragraph" w:styleId="Zhlav">
    <w:name w:val="header"/>
    <w:basedOn w:val="Normln"/>
    <w:link w:val="ZhlavChar"/>
    <w:uiPriority w:val="99"/>
    <w:unhideWhenUsed/>
    <w:rsid w:val="005D4EB4"/>
    <w:pPr>
      <w:tabs>
        <w:tab w:val="center" w:pos="4153"/>
        <w:tab w:val="right" w:pos="8306"/>
      </w:tabs>
    </w:pPr>
  </w:style>
  <w:style w:type="character" w:customStyle="1" w:styleId="ZhlavChar">
    <w:name w:val="Záhlaví Char"/>
    <w:basedOn w:val="Standardnpsmoodstavce"/>
    <w:link w:val="Zhlav"/>
    <w:uiPriority w:val="99"/>
    <w:rsid w:val="005D4EB4"/>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141A4"/>
    <w:rPr>
      <w:b/>
      <w:bCs/>
    </w:rPr>
  </w:style>
  <w:style w:type="character" w:customStyle="1" w:styleId="Nadpis4Char">
    <w:name w:val="Nadpis 4 Char"/>
    <w:basedOn w:val="Standardnpsmoodstavce"/>
    <w:link w:val="Nadpis4"/>
    <w:uiPriority w:val="99"/>
    <w:semiHidden/>
    <w:rsid w:val="004D7261"/>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semiHidden/>
    <w:rsid w:val="004D7261"/>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semiHidden/>
    <w:rsid w:val="004D7261"/>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9"/>
    <w:semiHidden/>
    <w:rsid w:val="004D7261"/>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semiHidden/>
    <w:rsid w:val="004D7261"/>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semiHidden/>
    <w:rsid w:val="004D7261"/>
    <w:rPr>
      <w:rFonts w:ascii="Cambria" w:eastAsia="Times New Roman" w:hAnsi="Cambria" w:cs="Times New Roman"/>
      <w:sz w:val="20"/>
      <w:szCs w:val="20"/>
      <w:lang w:eastAsia="cs-CZ"/>
    </w:rPr>
  </w:style>
  <w:style w:type="paragraph" w:customStyle="1" w:styleId="Textbodu">
    <w:name w:val="Text bodu"/>
    <w:basedOn w:val="Normln"/>
    <w:rsid w:val="004D7261"/>
    <w:pPr>
      <w:numPr>
        <w:ilvl w:val="2"/>
        <w:numId w:val="3"/>
      </w:numPr>
      <w:jc w:val="both"/>
      <w:outlineLvl w:val="8"/>
    </w:pPr>
    <w:rPr>
      <w:szCs w:val="20"/>
    </w:rPr>
  </w:style>
  <w:style w:type="character" w:customStyle="1" w:styleId="TextpsmeneChar">
    <w:name w:val="Text písmene Char"/>
    <w:link w:val="Textpsmene"/>
    <w:locked/>
    <w:rsid w:val="004D7261"/>
  </w:style>
  <w:style w:type="paragraph" w:customStyle="1" w:styleId="Textpsmene">
    <w:name w:val="Text písmene"/>
    <w:basedOn w:val="Normln"/>
    <w:link w:val="TextpsmeneChar"/>
    <w:rsid w:val="004D7261"/>
    <w:pPr>
      <w:numPr>
        <w:ilvl w:val="1"/>
        <w:numId w:val="3"/>
      </w:numPr>
      <w:jc w:val="both"/>
      <w:outlineLvl w:val="7"/>
    </w:pPr>
    <w:rPr>
      <w:rFonts w:asciiTheme="minorHAnsi" w:eastAsiaTheme="minorHAnsi" w:hAnsiTheme="minorHAnsi" w:cstheme="minorBidi"/>
      <w:sz w:val="22"/>
      <w:szCs w:val="22"/>
      <w:lang w:eastAsia="en-US"/>
    </w:rPr>
  </w:style>
  <w:style w:type="paragraph" w:customStyle="1" w:styleId="Textodstavce">
    <w:name w:val="Text odstavce"/>
    <w:basedOn w:val="Normln"/>
    <w:rsid w:val="004D7261"/>
    <w:pPr>
      <w:numPr>
        <w:numId w:val="3"/>
      </w:numPr>
      <w:tabs>
        <w:tab w:val="left" w:pos="851"/>
      </w:tabs>
      <w:spacing w:before="120" w:after="120"/>
      <w:jc w:val="both"/>
      <w:outlineLvl w:val="6"/>
    </w:pPr>
    <w:rPr>
      <w:sz w:val="20"/>
      <w:szCs w:val="20"/>
    </w:rPr>
  </w:style>
  <w:style w:type="character" w:customStyle="1" w:styleId="apple-converted-space">
    <w:name w:val="apple-converted-space"/>
    <w:basedOn w:val="Standardnpsmoodstavce"/>
    <w:rsid w:val="00426AC1"/>
  </w:style>
  <w:style w:type="character" w:styleId="Sledovanodkaz">
    <w:name w:val="FollowedHyperlink"/>
    <w:basedOn w:val="Standardnpsmoodstavce"/>
    <w:uiPriority w:val="99"/>
    <w:semiHidden/>
    <w:unhideWhenUsed/>
    <w:rsid w:val="002A3747"/>
    <w:rPr>
      <w:color w:val="800080" w:themeColor="followedHyperlink"/>
      <w:u w:val="single"/>
    </w:rPr>
  </w:style>
  <w:style w:type="paragraph" w:styleId="Zkladntextodsazen">
    <w:name w:val="Body Text Indent"/>
    <w:basedOn w:val="Normln"/>
    <w:link w:val="ZkladntextodsazenChar"/>
    <w:uiPriority w:val="99"/>
    <w:semiHidden/>
    <w:rsid w:val="004D2920"/>
    <w:pPr>
      <w:spacing w:line="360" w:lineRule="auto"/>
      <w:ind w:firstLine="708"/>
      <w:jc w:val="both"/>
    </w:pPr>
    <w:rPr>
      <w:sz w:val="26"/>
      <w:lang w:val="sk-SK" w:eastAsia="sk-SK"/>
    </w:rPr>
  </w:style>
  <w:style w:type="character" w:customStyle="1" w:styleId="ZkladntextodsazenChar">
    <w:name w:val="Základní text odsazený Char"/>
    <w:basedOn w:val="Standardnpsmoodstavce"/>
    <w:link w:val="Zkladntextodsazen"/>
    <w:uiPriority w:val="99"/>
    <w:semiHidden/>
    <w:rsid w:val="004D2920"/>
    <w:rPr>
      <w:rFonts w:ascii="Times New Roman" w:eastAsia="Times New Roman" w:hAnsi="Times New Roman" w:cs="Times New Roman"/>
      <w:sz w:val="26"/>
      <w:szCs w:val="24"/>
      <w:lang w:val="sk-SK" w:eastAsia="sk-SK"/>
    </w:rPr>
  </w:style>
  <w:style w:type="paragraph" w:styleId="Zkladntext">
    <w:name w:val="Body Text"/>
    <w:basedOn w:val="Normln"/>
    <w:link w:val="ZkladntextChar"/>
    <w:uiPriority w:val="99"/>
    <w:semiHidden/>
    <w:rsid w:val="004D2920"/>
    <w:pPr>
      <w:jc w:val="both"/>
    </w:pPr>
    <w:rPr>
      <w:lang w:val="sk-SK"/>
    </w:rPr>
  </w:style>
  <w:style w:type="character" w:customStyle="1" w:styleId="ZkladntextChar">
    <w:name w:val="Základní text Char"/>
    <w:basedOn w:val="Standardnpsmoodstavce"/>
    <w:link w:val="Zkladntext"/>
    <w:uiPriority w:val="99"/>
    <w:semiHidden/>
    <w:rsid w:val="004D2920"/>
    <w:rPr>
      <w:rFonts w:ascii="Times New Roman" w:eastAsia="Times New Roman" w:hAnsi="Times New Roman" w:cs="Times New Roman"/>
      <w:sz w:val="24"/>
      <w:szCs w:val="24"/>
      <w:lang w:val="sk-SK" w:eastAsia="cs-CZ"/>
    </w:rPr>
  </w:style>
  <w:style w:type="paragraph" w:styleId="Normlnweb">
    <w:name w:val="Normal (Web)"/>
    <w:basedOn w:val="Normln"/>
    <w:rsid w:val="00042985"/>
    <w:rPr>
      <w:color w:val="000000"/>
    </w:rPr>
  </w:style>
  <w:style w:type="character" w:customStyle="1" w:styleId="Nadpis1Char">
    <w:name w:val="Nadpis 1 Char"/>
    <w:basedOn w:val="Standardnpsmoodstavce"/>
    <w:link w:val="Nadpis1"/>
    <w:uiPriority w:val="9"/>
    <w:rsid w:val="00FF4C48"/>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r="http://schemas.openxmlformats.org/officeDocument/2006/relationships" xmlns:w="http://schemas.openxmlformats.org/wordprocessingml/2006/main">
  <w:divs>
    <w:div w:id="449520747">
      <w:bodyDiv w:val="1"/>
      <w:marLeft w:val="0"/>
      <w:marRight w:val="0"/>
      <w:marTop w:val="0"/>
      <w:marBottom w:val="0"/>
      <w:divBdr>
        <w:top w:val="none" w:sz="0" w:space="0" w:color="auto"/>
        <w:left w:val="none" w:sz="0" w:space="0" w:color="auto"/>
        <w:bottom w:val="none" w:sz="0" w:space="0" w:color="auto"/>
        <w:right w:val="none" w:sz="0" w:space="0" w:color="auto"/>
      </w:divBdr>
    </w:div>
    <w:div w:id="673651709">
      <w:bodyDiv w:val="1"/>
      <w:marLeft w:val="0"/>
      <w:marRight w:val="0"/>
      <w:marTop w:val="0"/>
      <w:marBottom w:val="0"/>
      <w:divBdr>
        <w:top w:val="none" w:sz="0" w:space="0" w:color="auto"/>
        <w:left w:val="none" w:sz="0" w:space="0" w:color="auto"/>
        <w:bottom w:val="none" w:sz="0" w:space="0" w:color="auto"/>
        <w:right w:val="none" w:sz="0" w:space="0" w:color="auto"/>
      </w:divBdr>
    </w:div>
    <w:div w:id="961300596">
      <w:bodyDiv w:val="1"/>
      <w:marLeft w:val="0"/>
      <w:marRight w:val="0"/>
      <w:marTop w:val="0"/>
      <w:marBottom w:val="0"/>
      <w:divBdr>
        <w:top w:val="none" w:sz="0" w:space="0" w:color="auto"/>
        <w:left w:val="none" w:sz="0" w:space="0" w:color="auto"/>
        <w:bottom w:val="none" w:sz="0" w:space="0" w:color="auto"/>
        <w:right w:val="none" w:sz="0" w:space="0" w:color="auto"/>
      </w:divBdr>
    </w:div>
    <w:div w:id="11714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dvokat@zdenekkoude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denekkoudelka.cz"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425/2010%20Sb.%2523'&amp;ucin-k-dni='30.12.9999'" TargetMode="External"/><Relationship Id="rId2" Type="http://schemas.openxmlformats.org/officeDocument/2006/relationships/hyperlink" Target="http://www.rozhlas.cz/zpravy/domaci/_zprava/1704536" TargetMode="External"/><Relationship Id="rId1" Type="http://schemas.openxmlformats.org/officeDocument/2006/relationships/hyperlink" Target="http://www.uihj.com/en/global-code-of-enforcement_2165010.html" TargetMode="External"/><Relationship Id="rId5" Type="http://schemas.openxmlformats.org/officeDocument/2006/relationships/hyperlink" Target="http://www.psp.cz/sqw/text/tiskt.sqw?O=6&amp;CT=880&amp;CT1=0" TargetMode="External"/><Relationship Id="rId4" Type="http://schemas.openxmlformats.org/officeDocument/2006/relationships/hyperlink" Target="http://www.parlamentnilisty.cz/rss/zpravy/Sef-US-Rychetsky-brzdi-Drabka-My-vam-nenaridili-abyste-si-zvedli-platy-24002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8632-84B6-41C9-BAB0-C68147A7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6383</Words>
  <Characters>37664</Characters>
  <Application>Microsoft Office Word</Application>
  <DocSecurity>0</DocSecurity>
  <Lines>313</Lines>
  <Paragraphs>87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Koudelka</dc:creator>
  <cp:lastModifiedBy>zdenek.koudelka</cp:lastModifiedBy>
  <cp:revision>6</cp:revision>
  <cp:lastPrinted>2016-04-07T11:23:00Z</cp:lastPrinted>
  <dcterms:created xsi:type="dcterms:W3CDTF">2017-04-25T14:18:00Z</dcterms:created>
  <dcterms:modified xsi:type="dcterms:W3CDTF">2017-06-23T07:36:00Z</dcterms:modified>
</cp:coreProperties>
</file>