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A0" w:firstRow="1" w:lastRow="0" w:firstColumn="1" w:lastColumn="0" w:noHBand="0" w:noVBand="0"/>
      </w:tblPr>
      <w:tblGrid>
        <w:gridCol w:w="9212"/>
      </w:tblGrid>
      <w:tr w:rsidR="00C05CA1" w:rsidRPr="00C05CA1" w:rsidTr="00AA34EA">
        <w:tc>
          <w:tcPr>
            <w:tcW w:w="9212" w:type="dxa"/>
            <w:tcMar>
              <w:top w:w="0" w:type="dxa"/>
              <w:left w:w="70" w:type="dxa"/>
              <w:bottom w:w="0" w:type="dxa"/>
              <w:right w:w="70" w:type="dxa"/>
            </w:tcMar>
          </w:tcPr>
          <w:p w:rsidR="00C05CA1" w:rsidRPr="00C05CA1" w:rsidRDefault="00C05CA1" w:rsidP="00C05CA1">
            <w:pPr>
              <w:keepNext/>
              <w:spacing w:after="0"/>
              <w:contextualSpacing/>
              <w:jc w:val="center"/>
              <w:outlineLvl w:val="0"/>
              <w:rPr>
                <w:rFonts w:ascii="Book Antiqua" w:eastAsia="Times New Roman" w:hAnsi="Book Antiqua"/>
                <w:b/>
                <w:bCs/>
                <w:caps/>
                <w:sz w:val="32"/>
                <w:szCs w:val="32"/>
                <w:lang w:eastAsia="cs-CZ"/>
              </w:rPr>
            </w:pPr>
            <w:r w:rsidRPr="00C05CA1">
              <w:rPr>
                <w:rFonts w:ascii="Book Antiqua" w:eastAsia="Times New Roman" w:hAnsi="Book Antiqua"/>
                <w:b/>
                <w:bCs/>
                <w:caps/>
                <w:noProof/>
                <w:kern w:val="36"/>
                <w:sz w:val="32"/>
                <w:szCs w:val="32"/>
                <w:lang w:eastAsia="cs-CZ"/>
              </w:rPr>
              <w:drawing>
                <wp:anchor distT="0" distB="0" distL="114300" distR="114300" simplePos="0" relativeHeight="251659264" behindDoc="1" locked="0" layoutInCell="1" allowOverlap="1">
                  <wp:simplePos x="0" y="0"/>
                  <wp:positionH relativeFrom="column">
                    <wp:posOffset>247650</wp:posOffset>
                  </wp:positionH>
                  <wp:positionV relativeFrom="paragraph">
                    <wp:posOffset>-23495</wp:posOffset>
                  </wp:positionV>
                  <wp:extent cx="676275" cy="666750"/>
                  <wp:effectExtent l="0" t="0" r="952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666750"/>
                          </a:xfrm>
                          <a:prstGeom prst="rect">
                            <a:avLst/>
                          </a:prstGeom>
                          <a:noFill/>
                        </pic:spPr>
                      </pic:pic>
                    </a:graphicData>
                  </a:graphic>
                </wp:anchor>
              </w:drawing>
            </w:r>
            <w:r w:rsidRPr="00C05CA1">
              <w:rPr>
                <w:rFonts w:ascii="Book Antiqua" w:eastAsia="Times New Roman" w:hAnsi="Book Antiqua"/>
                <w:b/>
                <w:bCs/>
                <w:caps/>
                <w:sz w:val="32"/>
                <w:szCs w:val="32"/>
                <w:lang w:eastAsia="cs-CZ"/>
              </w:rPr>
              <w:t>    EXEKUtorSKá komora čr</w:t>
            </w:r>
          </w:p>
        </w:tc>
      </w:tr>
      <w:tr w:rsidR="00C05CA1" w:rsidRPr="00C05CA1" w:rsidTr="00AA34EA">
        <w:tc>
          <w:tcPr>
            <w:tcW w:w="9212" w:type="dxa"/>
            <w:tcMar>
              <w:top w:w="0" w:type="dxa"/>
              <w:left w:w="70" w:type="dxa"/>
              <w:bottom w:w="0" w:type="dxa"/>
              <w:right w:w="70" w:type="dxa"/>
            </w:tcMar>
          </w:tcPr>
          <w:p w:rsidR="00C05CA1" w:rsidRPr="00C05CA1" w:rsidRDefault="00C05CA1" w:rsidP="00C05CA1">
            <w:pPr>
              <w:spacing w:after="0"/>
              <w:contextualSpacing/>
              <w:jc w:val="center"/>
              <w:rPr>
                <w:rFonts w:ascii="Book Antiqua" w:eastAsia="Times New Roman" w:hAnsi="Book Antiqua"/>
                <w:sz w:val="20"/>
                <w:szCs w:val="20"/>
                <w:lang w:eastAsia="cs-CZ"/>
              </w:rPr>
            </w:pPr>
            <w:r w:rsidRPr="00C05CA1">
              <w:rPr>
                <w:rFonts w:ascii="Book Antiqua" w:eastAsia="Times New Roman" w:hAnsi="Book Antiqua"/>
                <w:sz w:val="20"/>
                <w:szCs w:val="20"/>
                <w:lang w:eastAsia="cs-CZ"/>
              </w:rPr>
              <w:t>Na Pankráci 1062/58, 14 000 Praha</w:t>
            </w:r>
          </w:p>
        </w:tc>
      </w:tr>
      <w:tr w:rsidR="00C05CA1" w:rsidRPr="00C05CA1" w:rsidTr="00AA34EA">
        <w:tc>
          <w:tcPr>
            <w:tcW w:w="9212" w:type="dxa"/>
            <w:tcBorders>
              <w:top w:val="nil"/>
              <w:left w:val="nil"/>
              <w:bottom w:val="single" w:sz="12" w:space="0" w:color="auto"/>
              <w:right w:val="nil"/>
            </w:tcBorders>
            <w:tcMar>
              <w:top w:w="0" w:type="dxa"/>
              <w:left w:w="70" w:type="dxa"/>
              <w:bottom w:w="0" w:type="dxa"/>
              <w:right w:w="70" w:type="dxa"/>
            </w:tcMar>
          </w:tcPr>
          <w:p w:rsidR="00C05CA1" w:rsidRPr="00C05CA1" w:rsidRDefault="00C05CA1" w:rsidP="00C05CA1">
            <w:pPr>
              <w:spacing w:after="0"/>
              <w:contextualSpacing/>
              <w:jc w:val="center"/>
              <w:rPr>
                <w:rFonts w:ascii="Book Antiqua" w:eastAsia="Times New Roman" w:hAnsi="Book Antiqua"/>
                <w:sz w:val="20"/>
                <w:szCs w:val="20"/>
                <w:lang w:eastAsia="cs-CZ"/>
              </w:rPr>
            </w:pPr>
            <w:r w:rsidRPr="00C05CA1">
              <w:rPr>
                <w:rFonts w:ascii="Book Antiqua" w:eastAsia="Times New Roman" w:hAnsi="Book Antiqua"/>
                <w:szCs w:val="24"/>
                <w:lang w:eastAsia="cs-CZ"/>
              </w:rPr>
              <w:t xml:space="preserve">       </w:t>
            </w:r>
            <w:r w:rsidRPr="00C05CA1">
              <w:rPr>
                <w:rFonts w:ascii="Book Antiqua" w:eastAsia="Times New Roman" w:hAnsi="Book Antiqua"/>
                <w:sz w:val="20"/>
                <w:szCs w:val="20"/>
                <w:lang w:eastAsia="cs-CZ"/>
              </w:rPr>
              <w:t>IČO: 70 94 05 17     DIČ: CZ – 70 94 05 17     č.ú.: 27 – 85 77 11 02 27 / 0100</w:t>
            </w:r>
          </w:p>
          <w:p w:rsidR="00C05CA1" w:rsidRPr="00C05CA1" w:rsidRDefault="00C05CA1" w:rsidP="00C05CA1">
            <w:pPr>
              <w:spacing w:after="0"/>
              <w:contextualSpacing/>
              <w:jc w:val="center"/>
              <w:rPr>
                <w:rFonts w:ascii="Book Antiqua" w:eastAsia="Times New Roman" w:hAnsi="Book Antiqua"/>
                <w:sz w:val="20"/>
                <w:szCs w:val="20"/>
                <w:lang w:eastAsia="cs-CZ"/>
              </w:rPr>
            </w:pPr>
            <w:r w:rsidRPr="00C05CA1">
              <w:rPr>
                <w:rFonts w:ascii="Book Antiqua" w:eastAsia="Times New Roman" w:hAnsi="Book Antiqua"/>
                <w:sz w:val="20"/>
                <w:szCs w:val="20"/>
                <w:lang w:eastAsia="cs-CZ"/>
              </w:rPr>
              <w:t xml:space="preserve">Tel. 296 804 190, e-mail  </w:t>
            </w:r>
            <w:hyperlink r:id="rId8" w:tooltip="blocked::mailto:komora@ekcr.cz" w:history="1">
              <w:r w:rsidRPr="00C05CA1">
                <w:rPr>
                  <w:rFonts w:ascii="Book Antiqua" w:eastAsia="Times New Roman" w:hAnsi="Book Antiqua"/>
                  <w:color w:val="0000FF"/>
                  <w:sz w:val="20"/>
                  <w:szCs w:val="20"/>
                  <w:u w:val="single"/>
                  <w:lang w:eastAsia="cs-CZ"/>
                </w:rPr>
                <w:t>komora@ekcr.cz</w:t>
              </w:r>
            </w:hyperlink>
            <w:r w:rsidRPr="00C05CA1">
              <w:rPr>
                <w:rFonts w:ascii="Book Antiqua" w:eastAsia="Times New Roman" w:hAnsi="Book Antiqua"/>
                <w:sz w:val="20"/>
                <w:szCs w:val="20"/>
                <w:lang w:eastAsia="cs-CZ"/>
              </w:rPr>
              <w:t xml:space="preserve">, </w:t>
            </w:r>
            <w:hyperlink r:id="rId9" w:history="1">
              <w:r w:rsidRPr="00C05CA1">
                <w:rPr>
                  <w:rFonts w:ascii="Book Antiqua" w:eastAsia="Times New Roman" w:hAnsi="Book Antiqua"/>
                  <w:color w:val="0000FF"/>
                  <w:sz w:val="20"/>
                  <w:szCs w:val="20"/>
                  <w:u w:val="single"/>
                  <w:lang w:eastAsia="cs-CZ"/>
                </w:rPr>
                <w:t>www.ekcr.cz</w:t>
              </w:r>
            </w:hyperlink>
          </w:p>
        </w:tc>
      </w:tr>
    </w:tbl>
    <w:p w:rsidR="00C05CA1" w:rsidRPr="00C05CA1" w:rsidRDefault="00C05CA1" w:rsidP="00C05CA1">
      <w:pPr>
        <w:spacing w:after="0"/>
        <w:jc w:val="right"/>
        <w:outlineLvl w:val="0"/>
        <w:rPr>
          <w:rFonts w:ascii="Book Antiqua" w:eastAsia="Times New Roman" w:hAnsi="Book Antiqua"/>
          <w:b/>
          <w:szCs w:val="24"/>
          <w:lang w:eastAsia="cs-CZ"/>
        </w:rPr>
      </w:pPr>
    </w:p>
    <w:p w:rsidR="00C05CA1" w:rsidRPr="00C05CA1" w:rsidRDefault="00C05CA1" w:rsidP="00C05CA1">
      <w:pPr>
        <w:spacing w:after="0"/>
        <w:jc w:val="right"/>
        <w:outlineLvl w:val="0"/>
        <w:rPr>
          <w:rFonts w:ascii="Book Antiqua" w:eastAsia="Times New Roman" w:hAnsi="Book Antiqua"/>
          <w:b/>
          <w:szCs w:val="24"/>
          <w:lang w:eastAsia="cs-CZ"/>
        </w:rPr>
      </w:pPr>
      <w:r w:rsidRPr="00C05CA1">
        <w:rPr>
          <w:rFonts w:ascii="Book Antiqua" w:eastAsia="Times New Roman" w:hAnsi="Book Antiqua"/>
          <w:b/>
          <w:szCs w:val="24"/>
          <w:lang w:eastAsia="cs-CZ"/>
        </w:rPr>
        <w:t xml:space="preserve">                                                                     </w:t>
      </w:r>
    </w:p>
    <w:p w:rsidR="00C05CA1" w:rsidRPr="00C05CA1" w:rsidRDefault="00C05CA1" w:rsidP="00C05CA1">
      <w:pPr>
        <w:spacing w:after="0"/>
        <w:jc w:val="center"/>
        <w:outlineLvl w:val="0"/>
        <w:rPr>
          <w:rFonts w:ascii="Book Antiqua" w:eastAsia="Times New Roman" w:hAnsi="Book Antiqua"/>
          <w:b/>
          <w:sz w:val="48"/>
          <w:szCs w:val="48"/>
          <w:u w:val="single"/>
          <w:lang w:eastAsia="cs-CZ"/>
        </w:rPr>
      </w:pPr>
    </w:p>
    <w:p w:rsidR="00C05CA1" w:rsidRPr="00C05CA1" w:rsidRDefault="00C05CA1" w:rsidP="00C05CA1">
      <w:pPr>
        <w:spacing w:after="0"/>
        <w:jc w:val="center"/>
        <w:outlineLvl w:val="0"/>
        <w:rPr>
          <w:rFonts w:ascii="Book Antiqua" w:eastAsia="Times New Roman" w:hAnsi="Book Antiqua"/>
          <w:sz w:val="40"/>
          <w:szCs w:val="40"/>
          <w:u w:val="single"/>
          <w:lang w:eastAsia="cs-CZ"/>
        </w:rPr>
      </w:pPr>
    </w:p>
    <w:p w:rsidR="00C05CA1" w:rsidRPr="00C05CA1" w:rsidRDefault="00C05CA1" w:rsidP="00C05CA1">
      <w:pPr>
        <w:spacing w:after="0"/>
        <w:jc w:val="center"/>
        <w:outlineLvl w:val="0"/>
        <w:rPr>
          <w:rFonts w:ascii="Book Antiqua" w:eastAsia="Times New Roman" w:hAnsi="Book Antiqua"/>
          <w:b/>
          <w:smallCaps/>
          <w:sz w:val="40"/>
          <w:szCs w:val="40"/>
          <w:lang w:eastAsia="cs-CZ"/>
        </w:rPr>
      </w:pPr>
      <w:r w:rsidRPr="00C05CA1">
        <w:rPr>
          <w:rFonts w:ascii="Book Antiqua" w:eastAsia="Times New Roman" w:hAnsi="Book Antiqua"/>
          <w:b/>
          <w:smallCaps/>
          <w:sz w:val="40"/>
          <w:szCs w:val="40"/>
          <w:lang w:eastAsia="cs-CZ"/>
        </w:rPr>
        <w:t>Připomínky Exekutorské komory ČR</w:t>
      </w:r>
    </w:p>
    <w:p w:rsidR="00C05CA1" w:rsidRPr="00C05CA1" w:rsidRDefault="00C05CA1" w:rsidP="00C05CA1">
      <w:pPr>
        <w:spacing w:after="0"/>
        <w:outlineLvl w:val="0"/>
        <w:rPr>
          <w:rFonts w:ascii="Book Antiqua" w:eastAsia="Times New Roman" w:hAnsi="Book Antiqua"/>
          <w:sz w:val="40"/>
          <w:szCs w:val="40"/>
          <w:u w:val="single"/>
          <w:lang w:eastAsia="cs-CZ"/>
        </w:rPr>
      </w:pPr>
    </w:p>
    <w:p w:rsidR="00C05CA1" w:rsidRDefault="00C05CA1" w:rsidP="00C05CA1">
      <w:pPr>
        <w:spacing w:after="0"/>
        <w:outlineLvl w:val="0"/>
        <w:rPr>
          <w:rFonts w:ascii="Book Antiqua" w:eastAsia="Times New Roman" w:hAnsi="Book Antiqua"/>
          <w:sz w:val="40"/>
          <w:szCs w:val="40"/>
          <w:u w:val="single"/>
          <w:lang w:eastAsia="cs-CZ"/>
        </w:rPr>
      </w:pPr>
    </w:p>
    <w:p w:rsidR="00C05CA1" w:rsidRPr="00C05CA1" w:rsidRDefault="00C05CA1" w:rsidP="00C05CA1">
      <w:pPr>
        <w:spacing w:after="0"/>
        <w:outlineLvl w:val="0"/>
        <w:rPr>
          <w:rFonts w:ascii="Book Antiqua" w:eastAsia="Times New Roman" w:hAnsi="Book Antiqua"/>
          <w:sz w:val="40"/>
          <w:szCs w:val="40"/>
          <w:u w:val="single"/>
          <w:lang w:eastAsia="cs-CZ"/>
        </w:rPr>
      </w:pPr>
    </w:p>
    <w:p w:rsidR="00C05CA1" w:rsidRPr="00C05CA1" w:rsidRDefault="00C05CA1" w:rsidP="00C05CA1">
      <w:pPr>
        <w:pStyle w:val="Odstavecseseznamem"/>
        <w:numPr>
          <w:ilvl w:val="0"/>
          <w:numId w:val="8"/>
        </w:numPr>
        <w:spacing w:after="0"/>
        <w:outlineLvl w:val="0"/>
        <w:rPr>
          <w:rFonts w:ascii="Book Antiqua" w:eastAsia="Times New Roman" w:hAnsi="Book Antiqua"/>
          <w:i/>
          <w:szCs w:val="24"/>
          <w:lang w:eastAsia="cs-CZ"/>
        </w:rPr>
      </w:pPr>
      <w:r w:rsidRPr="00C05CA1">
        <w:rPr>
          <w:rFonts w:ascii="Book Antiqua" w:eastAsia="Times New Roman" w:hAnsi="Book Antiqua"/>
          <w:i/>
          <w:szCs w:val="24"/>
          <w:lang w:eastAsia="cs-CZ"/>
        </w:rPr>
        <w:t>k návrhu vyhlášky, kterou se mění vyhláška Ministerstva spravedlnosti č. 418/2001 Sb., o postupech při výkonu exekuční a další činnosti, ve znění pozdějších předpisů</w:t>
      </w:r>
    </w:p>
    <w:p w:rsidR="00C05CA1" w:rsidRDefault="00C05CA1" w:rsidP="00C05CA1">
      <w:pPr>
        <w:spacing w:after="0"/>
        <w:contextualSpacing/>
        <w:outlineLvl w:val="0"/>
        <w:rPr>
          <w:rFonts w:ascii="Book Antiqua" w:eastAsia="Times New Roman" w:hAnsi="Book Antiqua"/>
          <w:i/>
          <w:sz w:val="28"/>
          <w:szCs w:val="28"/>
          <w:lang w:eastAsia="cs-CZ"/>
        </w:rPr>
      </w:pPr>
    </w:p>
    <w:p w:rsidR="00C05CA1" w:rsidRDefault="00C05CA1" w:rsidP="00C05CA1">
      <w:pPr>
        <w:spacing w:after="0"/>
        <w:contextualSpacing/>
        <w:outlineLvl w:val="0"/>
        <w:rPr>
          <w:rFonts w:ascii="Book Antiqua" w:eastAsia="Times New Roman" w:hAnsi="Book Antiqua"/>
          <w:i/>
          <w:sz w:val="28"/>
          <w:szCs w:val="28"/>
          <w:lang w:eastAsia="cs-CZ"/>
        </w:rPr>
      </w:pPr>
    </w:p>
    <w:p w:rsidR="00C05CA1" w:rsidRDefault="00C05CA1" w:rsidP="00C05CA1">
      <w:pPr>
        <w:spacing w:after="0"/>
        <w:contextualSpacing/>
        <w:outlineLvl w:val="0"/>
        <w:rPr>
          <w:rFonts w:ascii="Book Antiqua" w:eastAsia="Times New Roman" w:hAnsi="Book Antiqua"/>
          <w:i/>
          <w:sz w:val="28"/>
          <w:szCs w:val="28"/>
          <w:lang w:eastAsia="cs-CZ"/>
        </w:rPr>
      </w:pPr>
    </w:p>
    <w:p w:rsidR="00C05CA1" w:rsidRDefault="00C05CA1" w:rsidP="00C05CA1">
      <w:pPr>
        <w:spacing w:after="0"/>
        <w:contextualSpacing/>
        <w:outlineLvl w:val="0"/>
        <w:rPr>
          <w:rFonts w:ascii="Book Antiqua" w:eastAsia="Times New Roman" w:hAnsi="Book Antiqua"/>
          <w:i/>
          <w:sz w:val="28"/>
          <w:szCs w:val="28"/>
          <w:lang w:eastAsia="cs-CZ"/>
        </w:rPr>
      </w:pPr>
    </w:p>
    <w:p w:rsidR="00C05CA1" w:rsidRDefault="00C05CA1" w:rsidP="00C05CA1">
      <w:pPr>
        <w:spacing w:after="0"/>
        <w:contextualSpacing/>
        <w:outlineLvl w:val="0"/>
        <w:rPr>
          <w:rFonts w:ascii="Book Antiqua" w:eastAsia="Times New Roman" w:hAnsi="Book Antiqua"/>
          <w:i/>
          <w:sz w:val="28"/>
          <w:szCs w:val="28"/>
          <w:lang w:eastAsia="cs-CZ"/>
        </w:rPr>
      </w:pPr>
    </w:p>
    <w:p w:rsidR="00C05CA1" w:rsidRDefault="00C05CA1" w:rsidP="00C05CA1">
      <w:pPr>
        <w:spacing w:after="0"/>
        <w:contextualSpacing/>
        <w:outlineLvl w:val="0"/>
        <w:rPr>
          <w:rFonts w:ascii="Book Antiqua" w:eastAsia="Times New Roman" w:hAnsi="Book Antiqua"/>
          <w:i/>
          <w:sz w:val="28"/>
          <w:szCs w:val="28"/>
          <w:lang w:eastAsia="cs-CZ"/>
        </w:rPr>
      </w:pPr>
    </w:p>
    <w:p w:rsidR="00C05CA1" w:rsidRDefault="00C05CA1" w:rsidP="00C05CA1">
      <w:pPr>
        <w:spacing w:after="0"/>
        <w:contextualSpacing/>
        <w:outlineLvl w:val="0"/>
        <w:rPr>
          <w:rFonts w:ascii="Book Antiqua" w:eastAsia="Times New Roman" w:hAnsi="Book Antiqua"/>
          <w:i/>
          <w:sz w:val="28"/>
          <w:szCs w:val="28"/>
          <w:lang w:eastAsia="cs-CZ"/>
        </w:rPr>
      </w:pPr>
    </w:p>
    <w:p w:rsidR="00C05CA1" w:rsidRDefault="00C05CA1" w:rsidP="00C05CA1">
      <w:pPr>
        <w:spacing w:after="0"/>
        <w:contextualSpacing/>
        <w:outlineLvl w:val="0"/>
        <w:rPr>
          <w:rFonts w:ascii="Book Antiqua" w:eastAsia="Times New Roman" w:hAnsi="Book Antiqua"/>
          <w:i/>
          <w:sz w:val="28"/>
          <w:szCs w:val="28"/>
          <w:lang w:eastAsia="cs-CZ"/>
        </w:rPr>
      </w:pPr>
    </w:p>
    <w:p w:rsidR="00C05CA1" w:rsidRDefault="00C05CA1" w:rsidP="00C05CA1">
      <w:pPr>
        <w:spacing w:after="0"/>
        <w:contextualSpacing/>
        <w:outlineLvl w:val="0"/>
        <w:rPr>
          <w:rFonts w:ascii="Book Antiqua" w:eastAsia="Times New Roman" w:hAnsi="Book Antiqua"/>
          <w:i/>
          <w:sz w:val="28"/>
          <w:szCs w:val="28"/>
          <w:lang w:eastAsia="cs-CZ"/>
        </w:rPr>
      </w:pPr>
    </w:p>
    <w:p w:rsidR="00C05CA1" w:rsidRDefault="00C05CA1" w:rsidP="00C05CA1">
      <w:pPr>
        <w:spacing w:after="0"/>
        <w:contextualSpacing/>
        <w:outlineLvl w:val="0"/>
        <w:rPr>
          <w:rFonts w:ascii="Book Antiqua" w:eastAsia="Times New Roman" w:hAnsi="Book Antiqua"/>
          <w:i/>
          <w:sz w:val="28"/>
          <w:szCs w:val="28"/>
          <w:lang w:eastAsia="cs-CZ"/>
        </w:rPr>
      </w:pPr>
    </w:p>
    <w:p w:rsidR="00C05CA1" w:rsidRDefault="00C05CA1" w:rsidP="00C05CA1">
      <w:pPr>
        <w:spacing w:after="0"/>
        <w:contextualSpacing/>
        <w:outlineLvl w:val="0"/>
        <w:rPr>
          <w:rFonts w:ascii="Book Antiqua" w:eastAsia="Times New Roman" w:hAnsi="Book Antiqua"/>
          <w:i/>
          <w:sz w:val="28"/>
          <w:szCs w:val="28"/>
          <w:lang w:eastAsia="cs-CZ"/>
        </w:rPr>
      </w:pPr>
    </w:p>
    <w:p w:rsidR="00C05CA1" w:rsidRDefault="00C05CA1" w:rsidP="00C05CA1">
      <w:pPr>
        <w:spacing w:after="0"/>
        <w:contextualSpacing/>
        <w:outlineLvl w:val="0"/>
        <w:rPr>
          <w:rFonts w:ascii="Book Antiqua" w:eastAsia="Times New Roman" w:hAnsi="Book Antiqua"/>
          <w:i/>
          <w:sz w:val="28"/>
          <w:szCs w:val="28"/>
          <w:lang w:eastAsia="cs-CZ"/>
        </w:rPr>
      </w:pPr>
    </w:p>
    <w:p w:rsidR="00C05CA1" w:rsidRDefault="00C05CA1" w:rsidP="00C05CA1">
      <w:pPr>
        <w:spacing w:after="0"/>
        <w:contextualSpacing/>
        <w:outlineLvl w:val="0"/>
        <w:rPr>
          <w:rFonts w:ascii="Book Antiqua" w:eastAsia="Times New Roman" w:hAnsi="Book Antiqua"/>
          <w:i/>
          <w:sz w:val="28"/>
          <w:szCs w:val="28"/>
          <w:lang w:eastAsia="cs-CZ"/>
        </w:rPr>
      </w:pPr>
    </w:p>
    <w:p w:rsidR="00C05CA1" w:rsidRDefault="00C05CA1" w:rsidP="00C05CA1">
      <w:pPr>
        <w:spacing w:after="0"/>
        <w:contextualSpacing/>
        <w:outlineLvl w:val="0"/>
        <w:rPr>
          <w:rFonts w:ascii="Book Antiqua" w:eastAsia="Times New Roman" w:hAnsi="Book Antiqua"/>
          <w:i/>
          <w:sz w:val="28"/>
          <w:szCs w:val="28"/>
          <w:lang w:eastAsia="cs-CZ"/>
        </w:rPr>
      </w:pPr>
    </w:p>
    <w:p w:rsidR="00C05CA1" w:rsidRDefault="00C05CA1" w:rsidP="00C05CA1">
      <w:pPr>
        <w:spacing w:after="0"/>
        <w:contextualSpacing/>
        <w:outlineLvl w:val="0"/>
        <w:rPr>
          <w:rFonts w:ascii="Book Antiqua" w:eastAsia="Times New Roman" w:hAnsi="Book Antiqua"/>
          <w:i/>
          <w:sz w:val="28"/>
          <w:szCs w:val="28"/>
          <w:lang w:eastAsia="cs-CZ"/>
        </w:rPr>
      </w:pPr>
    </w:p>
    <w:p w:rsidR="00C05CA1" w:rsidRDefault="00C05CA1" w:rsidP="00C05CA1">
      <w:pPr>
        <w:spacing w:after="0"/>
        <w:contextualSpacing/>
        <w:outlineLvl w:val="0"/>
        <w:rPr>
          <w:rFonts w:ascii="Book Antiqua" w:eastAsia="Times New Roman" w:hAnsi="Book Antiqua"/>
          <w:i/>
          <w:sz w:val="28"/>
          <w:szCs w:val="28"/>
          <w:lang w:eastAsia="cs-CZ"/>
        </w:rPr>
      </w:pPr>
    </w:p>
    <w:p w:rsidR="00C05CA1" w:rsidRDefault="00C05CA1" w:rsidP="00C05CA1">
      <w:pPr>
        <w:spacing w:after="0"/>
        <w:contextualSpacing/>
        <w:outlineLvl w:val="0"/>
        <w:rPr>
          <w:rFonts w:ascii="Book Antiqua" w:eastAsia="Times New Roman" w:hAnsi="Book Antiqua"/>
          <w:i/>
          <w:sz w:val="28"/>
          <w:szCs w:val="28"/>
          <w:lang w:eastAsia="cs-CZ"/>
        </w:rPr>
      </w:pPr>
    </w:p>
    <w:p w:rsidR="00C05CA1" w:rsidRDefault="00C05CA1" w:rsidP="00C05CA1">
      <w:pPr>
        <w:spacing w:after="0"/>
        <w:contextualSpacing/>
        <w:outlineLvl w:val="0"/>
        <w:rPr>
          <w:rFonts w:ascii="Book Antiqua" w:eastAsia="Times New Roman" w:hAnsi="Book Antiqua"/>
          <w:i/>
          <w:sz w:val="28"/>
          <w:szCs w:val="28"/>
          <w:lang w:eastAsia="cs-CZ"/>
        </w:rPr>
      </w:pPr>
    </w:p>
    <w:p w:rsidR="00C05CA1" w:rsidRDefault="00C05CA1" w:rsidP="00C05CA1">
      <w:pPr>
        <w:spacing w:after="0"/>
        <w:contextualSpacing/>
        <w:outlineLvl w:val="0"/>
        <w:rPr>
          <w:rFonts w:ascii="Book Antiqua" w:eastAsia="Times New Roman" w:hAnsi="Book Antiqua"/>
          <w:i/>
          <w:sz w:val="28"/>
          <w:szCs w:val="28"/>
          <w:lang w:eastAsia="cs-CZ"/>
        </w:rPr>
      </w:pPr>
    </w:p>
    <w:p w:rsidR="00C05CA1" w:rsidRDefault="00C05CA1" w:rsidP="00C05CA1">
      <w:pPr>
        <w:spacing w:after="0"/>
        <w:contextualSpacing/>
        <w:outlineLvl w:val="0"/>
        <w:rPr>
          <w:rFonts w:ascii="Book Antiqua" w:eastAsia="Times New Roman" w:hAnsi="Book Antiqua"/>
          <w:i/>
          <w:sz w:val="28"/>
          <w:szCs w:val="28"/>
          <w:lang w:eastAsia="cs-CZ"/>
        </w:rPr>
      </w:pPr>
    </w:p>
    <w:p w:rsidR="00C05CA1" w:rsidRDefault="00C05CA1" w:rsidP="00C05CA1">
      <w:pPr>
        <w:spacing w:after="0"/>
        <w:contextualSpacing/>
        <w:outlineLvl w:val="0"/>
        <w:rPr>
          <w:rFonts w:ascii="Book Antiqua" w:eastAsia="Times New Roman" w:hAnsi="Book Antiqua"/>
          <w:i/>
          <w:sz w:val="28"/>
          <w:szCs w:val="28"/>
          <w:lang w:eastAsia="cs-CZ"/>
        </w:rPr>
      </w:pPr>
    </w:p>
    <w:p w:rsidR="00C05CA1" w:rsidRDefault="00C05CA1" w:rsidP="00C05CA1">
      <w:pPr>
        <w:spacing w:after="0"/>
        <w:contextualSpacing/>
        <w:outlineLvl w:val="0"/>
        <w:rPr>
          <w:rFonts w:ascii="Book Antiqua" w:eastAsia="Times New Roman" w:hAnsi="Book Antiqua"/>
          <w:sz w:val="28"/>
          <w:szCs w:val="28"/>
          <w:lang w:eastAsia="cs-CZ"/>
        </w:rPr>
      </w:pPr>
    </w:p>
    <w:p w:rsidR="001D55D6" w:rsidRDefault="001D55D6" w:rsidP="00C05CA1">
      <w:pPr>
        <w:spacing w:after="0"/>
        <w:contextualSpacing/>
        <w:outlineLvl w:val="0"/>
        <w:rPr>
          <w:rFonts w:ascii="Book Antiqua" w:eastAsia="Times New Roman" w:hAnsi="Book Antiqua"/>
          <w:sz w:val="28"/>
          <w:szCs w:val="28"/>
          <w:lang w:eastAsia="cs-CZ"/>
        </w:rPr>
      </w:pPr>
    </w:p>
    <w:p w:rsidR="008457C6" w:rsidRDefault="008457C6" w:rsidP="00C05CA1">
      <w:pPr>
        <w:spacing w:after="0"/>
        <w:contextualSpacing/>
        <w:outlineLvl w:val="0"/>
        <w:rPr>
          <w:rFonts w:ascii="Book Antiqua" w:eastAsia="Times New Roman" w:hAnsi="Book Antiqua"/>
          <w:sz w:val="28"/>
          <w:szCs w:val="28"/>
          <w:lang w:eastAsia="cs-CZ"/>
        </w:rPr>
      </w:pPr>
    </w:p>
    <w:p w:rsidR="0041209E" w:rsidRPr="00C05CA1" w:rsidRDefault="0041209E" w:rsidP="00C05CA1">
      <w:pPr>
        <w:spacing w:after="0"/>
        <w:contextualSpacing/>
        <w:outlineLvl w:val="0"/>
        <w:rPr>
          <w:rFonts w:ascii="Book Antiqua" w:eastAsia="Times New Roman" w:hAnsi="Book Antiqua"/>
          <w:sz w:val="28"/>
          <w:szCs w:val="28"/>
          <w:lang w:eastAsia="cs-CZ"/>
        </w:rPr>
      </w:pPr>
    </w:p>
    <w:p w:rsidR="0041209E" w:rsidRPr="00B41E77" w:rsidRDefault="00C05CA1" w:rsidP="008457C6">
      <w:pPr>
        <w:pStyle w:val="Odstavecseseznamem"/>
        <w:numPr>
          <w:ilvl w:val="0"/>
          <w:numId w:val="1"/>
        </w:numPr>
        <w:rPr>
          <w:rFonts w:ascii="Book Antiqua" w:hAnsi="Book Antiqua"/>
          <w:b/>
          <w:u w:val="single"/>
        </w:rPr>
      </w:pPr>
      <w:r w:rsidRPr="00B41E77">
        <w:rPr>
          <w:rFonts w:ascii="Book Antiqua" w:hAnsi="Book Antiqua"/>
          <w:b/>
          <w:u w:val="single"/>
        </w:rPr>
        <w:lastRenderedPageBreak/>
        <w:t>Obecné připomínky</w:t>
      </w:r>
    </w:p>
    <w:p w:rsidR="00900F90" w:rsidRDefault="00900F90" w:rsidP="00900F90">
      <w:pPr>
        <w:pStyle w:val="Odstavecseseznamem"/>
        <w:rPr>
          <w:rFonts w:ascii="Book Antiqua" w:hAnsi="Book Antiqua"/>
        </w:rPr>
      </w:pPr>
    </w:p>
    <w:p w:rsidR="00330019" w:rsidRDefault="00277C8F" w:rsidP="00277C8F">
      <w:pPr>
        <w:rPr>
          <w:rFonts w:ascii="Book Antiqua" w:hAnsi="Book Antiqua"/>
        </w:rPr>
      </w:pPr>
      <w:r>
        <w:rPr>
          <w:rFonts w:ascii="Book Antiqua" w:hAnsi="Book Antiqua"/>
        </w:rPr>
        <w:t xml:space="preserve">Exekutorská komora ČR </w:t>
      </w:r>
      <w:r w:rsidRPr="00447161">
        <w:rPr>
          <w:rFonts w:ascii="Book Antiqua" w:hAnsi="Book Antiqua"/>
          <w:b/>
        </w:rPr>
        <w:t>sdílí ideu</w:t>
      </w:r>
      <w:r w:rsidRPr="0041209E">
        <w:rPr>
          <w:rFonts w:ascii="Book Antiqua" w:hAnsi="Book Antiqua"/>
        </w:rPr>
        <w:t xml:space="preserve"> Ministerstva spravedlnosti ČR </w:t>
      </w:r>
      <w:r w:rsidRPr="00E739CE">
        <w:rPr>
          <w:rFonts w:ascii="Book Antiqua" w:hAnsi="Book Antiqua"/>
          <w:b/>
        </w:rPr>
        <w:t>na sjednocení formální podoby rozhodnutí</w:t>
      </w:r>
      <w:r w:rsidRPr="0041209E">
        <w:rPr>
          <w:rFonts w:ascii="Book Antiqua" w:hAnsi="Book Antiqua"/>
        </w:rPr>
        <w:t xml:space="preserve"> soudních exekutorů</w:t>
      </w:r>
      <w:r>
        <w:rPr>
          <w:rFonts w:ascii="Book Antiqua" w:hAnsi="Book Antiqua"/>
        </w:rPr>
        <w:t xml:space="preserve">, a rovněž </w:t>
      </w:r>
      <w:r w:rsidR="00330019">
        <w:rPr>
          <w:rFonts w:ascii="Book Antiqua" w:hAnsi="Book Antiqua"/>
        </w:rPr>
        <w:t xml:space="preserve">dlouhodobě </w:t>
      </w:r>
      <w:r w:rsidRPr="00330019">
        <w:rPr>
          <w:rFonts w:ascii="Book Antiqua" w:hAnsi="Book Antiqua"/>
          <w:b/>
        </w:rPr>
        <w:t>deklaruje</w:t>
      </w:r>
      <w:r>
        <w:rPr>
          <w:rFonts w:ascii="Book Antiqua" w:hAnsi="Book Antiqua"/>
        </w:rPr>
        <w:t xml:space="preserve"> </w:t>
      </w:r>
      <w:r w:rsidRPr="00330019">
        <w:rPr>
          <w:rFonts w:ascii="Book Antiqua" w:hAnsi="Book Antiqua"/>
          <w:b/>
        </w:rPr>
        <w:t xml:space="preserve">podporu </w:t>
      </w:r>
      <w:r w:rsidR="00447161">
        <w:rPr>
          <w:rFonts w:ascii="Book Antiqua" w:hAnsi="Book Antiqua"/>
        </w:rPr>
        <w:t xml:space="preserve">pro přijetí opatření, které povede k naplnění </w:t>
      </w:r>
      <w:r w:rsidR="00330019">
        <w:rPr>
          <w:rFonts w:ascii="Book Antiqua" w:hAnsi="Book Antiqua"/>
        </w:rPr>
        <w:t xml:space="preserve">této myšlenky. </w:t>
      </w:r>
      <w:r>
        <w:rPr>
          <w:rFonts w:ascii="Book Antiqua" w:hAnsi="Book Antiqua"/>
        </w:rPr>
        <w:t xml:space="preserve">Určitou míru unifikace považuje Komora za nezbytnou, protože současná situace, kdy vizualizace písemností soudních exekutorů se významně liší </w:t>
      </w:r>
      <w:r w:rsidR="00E85497">
        <w:rPr>
          <w:rFonts w:ascii="Book Antiqua" w:hAnsi="Book Antiqua"/>
        </w:rPr>
        <w:t xml:space="preserve">například </w:t>
      </w:r>
      <w:r>
        <w:rPr>
          <w:rFonts w:ascii="Book Antiqua" w:hAnsi="Book Antiqua"/>
        </w:rPr>
        <w:t xml:space="preserve">v závislosti na tom, jaký informační systém soudní exekutor užívá, do </w:t>
      </w:r>
      <w:r w:rsidR="00330019">
        <w:rPr>
          <w:rFonts w:ascii="Book Antiqua" w:hAnsi="Book Antiqua"/>
        </w:rPr>
        <w:t xml:space="preserve">jaké míry </w:t>
      </w:r>
      <w:r w:rsidR="001B7CF1">
        <w:rPr>
          <w:rFonts w:ascii="Book Antiqua" w:hAnsi="Book Antiqua"/>
        </w:rPr>
        <w:t xml:space="preserve">věnuje pozornost aktualizaci </w:t>
      </w:r>
      <w:r w:rsidR="00330019">
        <w:rPr>
          <w:rFonts w:ascii="Book Antiqua" w:hAnsi="Book Antiqua"/>
        </w:rPr>
        <w:t>šablon atp., je přinejmenším nepraktická.</w:t>
      </w:r>
    </w:p>
    <w:p w:rsidR="002C651E" w:rsidRDefault="00330019" w:rsidP="00277C8F">
      <w:pPr>
        <w:rPr>
          <w:rFonts w:ascii="Book Antiqua" w:hAnsi="Book Antiqua"/>
        </w:rPr>
      </w:pPr>
      <w:r>
        <w:rPr>
          <w:rFonts w:ascii="Book Antiqua" w:hAnsi="Book Antiqua"/>
        </w:rPr>
        <w:t xml:space="preserve">Rovněž je současný stav </w:t>
      </w:r>
      <w:r w:rsidR="00277C8F">
        <w:rPr>
          <w:rFonts w:ascii="Book Antiqua" w:hAnsi="Book Antiqua"/>
        </w:rPr>
        <w:t xml:space="preserve">zatěžující </w:t>
      </w:r>
      <w:r w:rsidR="001B7CF1">
        <w:rPr>
          <w:rFonts w:ascii="Book Antiqua" w:hAnsi="Book Antiqua"/>
        </w:rPr>
        <w:t xml:space="preserve">i </w:t>
      </w:r>
      <w:r w:rsidR="00277C8F">
        <w:rPr>
          <w:rFonts w:ascii="Book Antiqua" w:hAnsi="Book Antiqua"/>
        </w:rPr>
        <w:t>pro samotné adresáty těchto písemností</w:t>
      </w:r>
      <w:r>
        <w:rPr>
          <w:rFonts w:ascii="Book Antiqua" w:hAnsi="Book Antiqua"/>
        </w:rPr>
        <w:t xml:space="preserve"> (dlužníci, plátci mzdy a jiných příjmů aj.)</w:t>
      </w:r>
      <w:r w:rsidR="00277C8F">
        <w:rPr>
          <w:rFonts w:ascii="Book Antiqua" w:hAnsi="Book Antiqua"/>
        </w:rPr>
        <w:t xml:space="preserve">, resp. osoby, které přijdou s těmito písemnostmi do </w:t>
      </w:r>
      <w:r>
        <w:rPr>
          <w:rFonts w:ascii="Book Antiqua" w:hAnsi="Book Antiqua"/>
        </w:rPr>
        <w:t xml:space="preserve">styku jinak </w:t>
      </w:r>
      <w:r w:rsidR="00277C8F">
        <w:rPr>
          <w:rFonts w:ascii="Book Antiqua" w:hAnsi="Book Antiqua"/>
        </w:rPr>
        <w:t>(např. soudy v rámci řízení o opravných prostředcích)</w:t>
      </w:r>
      <w:r>
        <w:rPr>
          <w:rFonts w:ascii="Book Antiqua" w:hAnsi="Book Antiqua"/>
        </w:rPr>
        <w:t xml:space="preserve">. Těmto osobám by jednotná vizualizace i určitá harmonizace obsahu písemností ulehčila jejich </w:t>
      </w:r>
      <w:r w:rsidR="00E85497">
        <w:rPr>
          <w:rFonts w:ascii="Book Antiqua" w:hAnsi="Book Antiqua"/>
        </w:rPr>
        <w:t>nakládání s nimi.</w:t>
      </w:r>
    </w:p>
    <w:p w:rsidR="002C651E" w:rsidRDefault="002C651E" w:rsidP="00277C8F">
      <w:pPr>
        <w:rPr>
          <w:rFonts w:ascii="Book Antiqua" w:hAnsi="Book Antiqua"/>
        </w:rPr>
      </w:pPr>
    </w:p>
    <w:p w:rsidR="002C651E" w:rsidRPr="002C651E" w:rsidRDefault="002C651E" w:rsidP="00277C8F">
      <w:pPr>
        <w:pStyle w:val="Odstavecseseznamem"/>
        <w:numPr>
          <w:ilvl w:val="0"/>
          <w:numId w:val="29"/>
        </w:numPr>
        <w:rPr>
          <w:rFonts w:ascii="Book Antiqua" w:hAnsi="Book Antiqua"/>
        </w:rPr>
      </w:pPr>
      <w:r>
        <w:rPr>
          <w:rFonts w:ascii="Book Antiqua" w:hAnsi="Book Antiqua"/>
        </w:rPr>
        <w:t xml:space="preserve">pohled právní </w:t>
      </w:r>
    </w:p>
    <w:p w:rsidR="002C651E" w:rsidRDefault="002C651E" w:rsidP="002C651E">
      <w:pPr>
        <w:rPr>
          <w:rFonts w:ascii="Book Antiqua" w:hAnsi="Book Antiqua"/>
        </w:rPr>
      </w:pPr>
    </w:p>
    <w:p w:rsidR="002C651E" w:rsidRDefault="002C651E" w:rsidP="002C651E">
      <w:pPr>
        <w:rPr>
          <w:rFonts w:ascii="Book Antiqua" w:hAnsi="Book Antiqua"/>
        </w:rPr>
      </w:pPr>
      <w:r>
        <w:rPr>
          <w:rFonts w:ascii="Book Antiqua" w:hAnsi="Book Antiqua"/>
        </w:rPr>
        <w:t xml:space="preserve">Ačkoliv Komora podporuje záměr ministerstva, nelze se ztotožnit </w:t>
      </w:r>
      <w:r w:rsidRPr="00302E3B">
        <w:rPr>
          <w:rFonts w:ascii="Book Antiqua" w:hAnsi="Book Antiqua"/>
          <w:u w:val="single"/>
        </w:rPr>
        <w:t>s konkrétní</w:t>
      </w:r>
      <w:r>
        <w:rPr>
          <w:rFonts w:ascii="Book Antiqua" w:hAnsi="Book Antiqua"/>
        </w:rPr>
        <w:t xml:space="preserve"> podobou těchto vzorů, které </w:t>
      </w:r>
      <w:r w:rsidRPr="00302E3B">
        <w:rPr>
          <w:rFonts w:ascii="Book Antiqua" w:hAnsi="Book Antiqua"/>
          <w:b/>
        </w:rPr>
        <w:t>jsou příliš komplikované</w:t>
      </w:r>
      <w:r w:rsidRPr="006970A6">
        <w:rPr>
          <w:rFonts w:ascii="Book Antiqua" w:hAnsi="Book Antiqua"/>
        </w:rPr>
        <w:t>, nedosáhnou kýženého výsledku</w:t>
      </w:r>
      <w:r>
        <w:rPr>
          <w:rFonts w:ascii="Book Antiqua" w:hAnsi="Book Antiqua"/>
        </w:rPr>
        <w:t xml:space="preserve">, </w:t>
      </w:r>
      <w:r w:rsidRPr="006970A6">
        <w:rPr>
          <w:rFonts w:ascii="Book Antiqua" w:hAnsi="Book Antiqua"/>
        </w:rPr>
        <w:t>jsou do ur</w:t>
      </w:r>
      <w:r>
        <w:rPr>
          <w:rFonts w:ascii="Book Antiqua" w:hAnsi="Book Antiqua"/>
        </w:rPr>
        <w:t xml:space="preserve">čité míry v rozporu se stavovskými předpisy a obsahují </w:t>
      </w:r>
      <w:r w:rsidRPr="006970A6">
        <w:rPr>
          <w:rFonts w:ascii="Book Antiqua" w:hAnsi="Book Antiqua"/>
        </w:rPr>
        <w:t>náležitosti, které  zákon neupravuje</w:t>
      </w:r>
      <w:r>
        <w:rPr>
          <w:rFonts w:ascii="Book Antiqua" w:hAnsi="Book Antiqua"/>
        </w:rPr>
        <w:t xml:space="preserve">. </w:t>
      </w:r>
      <w:r w:rsidRPr="006970A6">
        <w:rPr>
          <w:rFonts w:ascii="Book Antiqua" w:hAnsi="Book Antiqua"/>
          <w:b/>
        </w:rPr>
        <w:t>Navržené vzory jsou v konečné podobě nepřehledné</w:t>
      </w:r>
      <w:r>
        <w:rPr>
          <w:rFonts w:ascii="Book Antiqua" w:hAnsi="Book Antiqua"/>
        </w:rPr>
        <w:t xml:space="preserve">. Je </w:t>
      </w:r>
      <w:r w:rsidR="00F102C1">
        <w:rPr>
          <w:rFonts w:ascii="Book Antiqua" w:hAnsi="Book Antiqua"/>
        </w:rPr>
        <w:t xml:space="preserve">nutno </w:t>
      </w:r>
      <w:r>
        <w:rPr>
          <w:rFonts w:ascii="Book Antiqua" w:hAnsi="Book Antiqua"/>
        </w:rPr>
        <w:t>respektovat</w:t>
      </w:r>
      <w:r w:rsidR="00F102C1">
        <w:rPr>
          <w:rFonts w:ascii="Book Antiqua" w:hAnsi="Book Antiqua"/>
        </w:rPr>
        <w:t xml:space="preserve"> fakt</w:t>
      </w:r>
      <w:r>
        <w:rPr>
          <w:rFonts w:ascii="Book Antiqua" w:hAnsi="Book Antiqua"/>
        </w:rPr>
        <w:t xml:space="preserve">, že písemnosti soudních exekutorů jsou v první řadě písemnostmi soudními, v nichž je na místě poučovat </w:t>
      </w:r>
      <w:r w:rsidRPr="00D90B2F">
        <w:rPr>
          <w:rFonts w:ascii="Book Antiqua" w:hAnsi="Book Antiqua"/>
          <w:u w:val="single"/>
        </w:rPr>
        <w:t>v zákonném rozsahu, slovy zákona a tam, kde to v řízení patří</w:t>
      </w:r>
      <w:r>
        <w:rPr>
          <w:rFonts w:ascii="Book Antiqua" w:hAnsi="Book Antiqua"/>
        </w:rPr>
        <w:t>. Pro úpravu těchto písemností platí i procesní předpisy, které navržené vzory částečně popírají (</w:t>
      </w:r>
      <w:r w:rsidRPr="006970A6">
        <w:rPr>
          <w:rFonts w:ascii="Book Antiqua" w:hAnsi="Book Antiqua"/>
        </w:rPr>
        <w:t xml:space="preserve">§ 155 odst. 1 o.s.ř. § 157 o.s.ř., </w:t>
      </w:r>
      <w:r>
        <w:rPr>
          <w:rFonts w:ascii="Book Antiqua" w:hAnsi="Book Antiqua"/>
        </w:rPr>
        <w:t xml:space="preserve">§ 167 odst. 2 o.s.ř, </w:t>
      </w:r>
      <w:r w:rsidRPr="006970A6">
        <w:rPr>
          <w:rFonts w:ascii="Book Antiqua" w:hAnsi="Book Antiqua"/>
        </w:rPr>
        <w:t>§ 47 odst. 2 e.ř., § 52 e.ř., § 55b e.ř.</w:t>
      </w:r>
      <w:r>
        <w:rPr>
          <w:rFonts w:ascii="Book Antiqua" w:hAnsi="Book Antiqua"/>
        </w:rPr>
        <w:t xml:space="preserve">, </w:t>
      </w:r>
      <w:r w:rsidRPr="006970A6">
        <w:rPr>
          <w:rFonts w:ascii="Book Antiqua" w:hAnsi="Book Antiqua"/>
        </w:rPr>
        <w:t>§ 49 e.ř. a § 88 e.ř</w:t>
      </w:r>
      <w:r>
        <w:rPr>
          <w:rFonts w:ascii="Book Antiqua" w:hAnsi="Book Antiqua"/>
        </w:rPr>
        <w:t>) i určitá zaužívaná rozhodovací praxe soudů i správních orgánů, kterou by navržené vzory zásadně změnily – k tomu se sluší dodat, že i povinní jsou na vzezření, členění i obsah soudních písemností zvyklí a umí s</w:t>
      </w:r>
      <w:r w:rsidR="00F102C1">
        <w:rPr>
          <w:rFonts w:ascii="Book Antiqua" w:hAnsi="Book Antiqua"/>
        </w:rPr>
        <w:t> nimi</w:t>
      </w:r>
      <w:r>
        <w:rPr>
          <w:rFonts w:ascii="Book Antiqua" w:hAnsi="Book Antiqua"/>
        </w:rPr>
        <w:t xml:space="preserve"> pracovat. </w:t>
      </w:r>
    </w:p>
    <w:p w:rsidR="002C651E" w:rsidRDefault="002C651E" w:rsidP="002C651E">
      <w:pPr>
        <w:rPr>
          <w:rFonts w:ascii="Book Antiqua" w:hAnsi="Book Antiqua"/>
        </w:rPr>
      </w:pPr>
      <w:r>
        <w:rPr>
          <w:rFonts w:ascii="Book Antiqua" w:hAnsi="Book Antiqua"/>
        </w:rPr>
        <w:t>Do rozhodnutí nepatří povšechné vysvětlování právní úpravy (</w:t>
      </w:r>
      <w:r w:rsidRPr="00D90B2F">
        <w:rPr>
          <w:rFonts w:ascii="Book Antiqua" w:hAnsi="Book Antiqua"/>
          <w:i/>
        </w:rPr>
        <w:t xml:space="preserve">která </w:t>
      </w:r>
      <w:r w:rsidR="002E2B97">
        <w:rPr>
          <w:rFonts w:ascii="Book Antiqua" w:hAnsi="Book Antiqua"/>
          <w:i/>
        </w:rPr>
        <w:t xml:space="preserve">je navrch v důsledku neustálých </w:t>
      </w:r>
      <w:r w:rsidRPr="00D90B2F">
        <w:rPr>
          <w:rFonts w:ascii="Book Antiqua" w:hAnsi="Book Antiqua"/>
          <w:i/>
        </w:rPr>
        <w:t>legislativních změn tak složitá, že se v ní neorientují an</w:t>
      </w:r>
      <w:r>
        <w:rPr>
          <w:rFonts w:ascii="Book Antiqua" w:hAnsi="Book Antiqua"/>
          <w:i/>
        </w:rPr>
        <w:t>i osoby práva znalé, natož osoby</w:t>
      </w:r>
      <w:r w:rsidRPr="00D90B2F">
        <w:rPr>
          <w:rFonts w:ascii="Book Antiqua" w:hAnsi="Book Antiqua"/>
          <w:i/>
        </w:rPr>
        <w:t xml:space="preserve">, která </w:t>
      </w:r>
      <w:r w:rsidR="00F102C1">
        <w:rPr>
          <w:rFonts w:ascii="Book Antiqua" w:hAnsi="Book Antiqua"/>
          <w:i/>
        </w:rPr>
        <w:t>jsou</w:t>
      </w:r>
      <w:r w:rsidRPr="00D90B2F">
        <w:rPr>
          <w:rFonts w:ascii="Book Antiqua" w:hAnsi="Book Antiqua"/>
          <w:i/>
        </w:rPr>
        <w:t xml:space="preserve"> typickým</w:t>
      </w:r>
      <w:r w:rsidR="00F102C1">
        <w:rPr>
          <w:rFonts w:ascii="Book Antiqua" w:hAnsi="Book Antiqua"/>
          <w:i/>
        </w:rPr>
        <w:t>i</w:t>
      </w:r>
      <w:r w:rsidRPr="00D90B2F">
        <w:rPr>
          <w:rFonts w:ascii="Book Antiqua" w:hAnsi="Book Antiqua"/>
          <w:i/>
        </w:rPr>
        <w:t xml:space="preserve"> účastník</w:t>
      </w:r>
      <w:r w:rsidR="00F102C1">
        <w:rPr>
          <w:rFonts w:ascii="Book Antiqua" w:hAnsi="Book Antiqua"/>
          <w:i/>
        </w:rPr>
        <w:t>y</w:t>
      </w:r>
      <w:r w:rsidRPr="00D90B2F">
        <w:rPr>
          <w:rFonts w:ascii="Book Antiqua" w:hAnsi="Book Antiqua"/>
          <w:i/>
        </w:rPr>
        <w:t xml:space="preserve"> exekučního řízení</w:t>
      </w:r>
      <w:r>
        <w:rPr>
          <w:rFonts w:ascii="Book Antiqua" w:hAnsi="Book Antiqua"/>
          <w:i/>
        </w:rPr>
        <w:t xml:space="preserve"> – na tomto faktu nezmění nic ani mnohastránková pojednání o exekučním řízení</w:t>
      </w:r>
      <w:r w:rsidR="002E2B97">
        <w:rPr>
          <w:rFonts w:ascii="Book Antiqua" w:hAnsi="Book Antiqua"/>
        </w:rPr>
        <w:t xml:space="preserve">. </w:t>
      </w:r>
      <w:r w:rsidRPr="00D90B2F">
        <w:rPr>
          <w:rFonts w:ascii="Book Antiqua" w:hAnsi="Book Antiqua"/>
        </w:rPr>
        <w:t>Směšování poučení o všech možných procesních situací</w:t>
      </w:r>
      <w:r>
        <w:rPr>
          <w:rFonts w:ascii="Book Antiqua" w:hAnsi="Book Antiqua"/>
        </w:rPr>
        <w:t>ch (</w:t>
      </w:r>
      <w:r w:rsidRPr="00D90B2F">
        <w:rPr>
          <w:rFonts w:ascii="Book Antiqua" w:hAnsi="Book Antiqua"/>
        </w:rPr>
        <w:t>bez ohledu na jejich význam v</w:t>
      </w:r>
      <w:r>
        <w:rPr>
          <w:rFonts w:ascii="Book Antiqua" w:hAnsi="Book Antiqua"/>
        </w:rPr>
        <w:t> </w:t>
      </w:r>
      <w:r w:rsidRPr="00D90B2F">
        <w:rPr>
          <w:rFonts w:ascii="Book Antiqua" w:hAnsi="Book Antiqua"/>
        </w:rPr>
        <w:t>řízení</w:t>
      </w:r>
      <w:r>
        <w:rPr>
          <w:rFonts w:ascii="Book Antiqua" w:hAnsi="Book Antiqua"/>
        </w:rPr>
        <w:t xml:space="preserve">), </w:t>
      </w:r>
      <w:r w:rsidR="002E2B97">
        <w:rPr>
          <w:rFonts w:ascii="Book Antiqua" w:hAnsi="Book Antiqua"/>
        </w:rPr>
        <w:t xml:space="preserve">které ani </w:t>
      </w:r>
      <w:r w:rsidRPr="00D90B2F">
        <w:rPr>
          <w:rFonts w:ascii="Book Antiqua" w:hAnsi="Book Antiqua"/>
        </w:rPr>
        <w:t>třeba  nenas</w:t>
      </w:r>
      <w:r>
        <w:rPr>
          <w:rFonts w:ascii="Book Antiqua" w:hAnsi="Book Antiqua"/>
        </w:rPr>
        <w:t xml:space="preserve">tanou, v jedno universální </w:t>
      </w:r>
      <w:r w:rsidRPr="00D90B2F">
        <w:rPr>
          <w:rFonts w:ascii="Book Antiqua" w:hAnsi="Book Antiqua"/>
        </w:rPr>
        <w:t xml:space="preserve">poučení, </w:t>
      </w:r>
      <w:r>
        <w:rPr>
          <w:rFonts w:ascii="Book Antiqua" w:hAnsi="Book Antiqua"/>
        </w:rPr>
        <w:t>které se</w:t>
      </w:r>
      <w:r w:rsidRPr="00D90B2F">
        <w:rPr>
          <w:rFonts w:ascii="Book Antiqua" w:hAnsi="Book Antiqua"/>
        </w:rPr>
        <w:t xml:space="preserve"> opakovaně </w:t>
      </w:r>
      <w:r>
        <w:rPr>
          <w:rFonts w:ascii="Book Antiqua" w:hAnsi="Book Antiqua"/>
        </w:rPr>
        <w:t>vkládá</w:t>
      </w:r>
      <w:r w:rsidR="002E2B97">
        <w:rPr>
          <w:rFonts w:ascii="Book Antiqua" w:hAnsi="Book Antiqua"/>
        </w:rPr>
        <w:t xml:space="preserve"> </w:t>
      </w:r>
      <w:r w:rsidRPr="00D90B2F">
        <w:rPr>
          <w:rFonts w:ascii="Book Antiqua" w:hAnsi="Book Antiqua"/>
        </w:rPr>
        <w:t xml:space="preserve">do každého </w:t>
      </w:r>
      <w:r w:rsidR="002E2B97">
        <w:rPr>
          <w:rFonts w:ascii="Book Antiqua" w:hAnsi="Book Antiqua"/>
        </w:rPr>
        <w:t xml:space="preserve">rozhodnutí, </w:t>
      </w:r>
      <w:r w:rsidR="00BC139A">
        <w:rPr>
          <w:rFonts w:ascii="Book Antiqua" w:hAnsi="Book Antiqua"/>
        </w:rPr>
        <w:t>nedosahuje zamýšleného cíle.</w:t>
      </w:r>
      <w:r>
        <w:rPr>
          <w:rFonts w:ascii="Book Antiqua" w:hAnsi="Book Antiqua"/>
        </w:rPr>
        <w:t xml:space="preserve"> Předkládané vzory neberou </w:t>
      </w:r>
      <w:r w:rsidRPr="00D90B2F">
        <w:rPr>
          <w:rFonts w:ascii="Book Antiqua" w:hAnsi="Book Antiqua"/>
        </w:rPr>
        <w:t>ohled na smysl a účel poučení, potřeb</w:t>
      </w:r>
      <w:r>
        <w:rPr>
          <w:rFonts w:ascii="Book Antiqua" w:hAnsi="Book Antiqua"/>
        </w:rPr>
        <w:t xml:space="preserve">y účastníků </w:t>
      </w:r>
      <w:r w:rsidRPr="00D90B2F">
        <w:rPr>
          <w:rFonts w:ascii="Book Antiqua" w:hAnsi="Book Antiqua"/>
        </w:rPr>
        <w:t xml:space="preserve">a </w:t>
      </w:r>
      <w:r>
        <w:rPr>
          <w:rFonts w:ascii="Book Antiqua" w:hAnsi="Book Antiqua"/>
        </w:rPr>
        <w:t xml:space="preserve">ani </w:t>
      </w:r>
      <w:r w:rsidRPr="00D90B2F">
        <w:rPr>
          <w:rFonts w:ascii="Book Antiqua" w:hAnsi="Book Antiqua"/>
        </w:rPr>
        <w:t xml:space="preserve">na to, že řízení </w:t>
      </w:r>
      <w:r>
        <w:rPr>
          <w:rFonts w:ascii="Book Antiqua" w:hAnsi="Book Antiqua"/>
        </w:rPr>
        <w:t xml:space="preserve">se </w:t>
      </w:r>
      <w:r w:rsidRPr="00D90B2F">
        <w:rPr>
          <w:rFonts w:ascii="Book Antiqua" w:hAnsi="Book Antiqua"/>
        </w:rPr>
        <w:t>postupně vyvíjí</w:t>
      </w:r>
      <w:r>
        <w:rPr>
          <w:rFonts w:ascii="Book Antiqua" w:hAnsi="Book Antiqua"/>
        </w:rPr>
        <w:t xml:space="preserve"> a s tím se vyvíjí i potřeba poskytnout účastníkům řízení </w:t>
      </w:r>
      <w:r w:rsidR="00F102C1">
        <w:rPr>
          <w:rFonts w:ascii="Book Antiqua" w:hAnsi="Book Antiqua"/>
        </w:rPr>
        <w:t xml:space="preserve">nové, </w:t>
      </w:r>
      <w:r>
        <w:rPr>
          <w:rFonts w:ascii="Book Antiqua" w:hAnsi="Book Antiqua"/>
        </w:rPr>
        <w:t>vhodn</w:t>
      </w:r>
      <w:r w:rsidR="00F102C1">
        <w:rPr>
          <w:rFonts w:ascii="Book Antiqua" w:hAnsi="Book Antiqua"/>
        </w:rPr>
        <w:t>ější</w:t>
      </w:r>
      <w:r>
        <w:rPr>
          <w:rFonts w:ascii="Book Antiqua" w:hAnsi="Book Antiqua"/>
        </w:rPr>
        <w:t xml:space="preserve"> poučení.</w:t>
      </w:r>
    </w:p>
    <w:p w:rsidR="002C651E" w:rsidRDefault="002C651E" w:rsidP="002C651E">
      <w:pPr>
        <w:rPr>
          <w:rFonts w:ascii="Book Antiqua" w:hAnsi="Book Antiqua"/>
        </w:rPr>
      </w:pPr>
      <w:r>
        <w:rPr>
          <w:rFonts w:ascii="Book Antiqua" w:hAnsi="Book Antiqua"/>
        </w:rPr>
        <w:t xml:space="preserve">S ohledem na to, že Komora silně vnímá potřebu vysvětlit účastníkům řízení a obecně i veřejnosti podstatu, účel a podrobnosti (jednotlivé fáze, opravné prostředky) exekučního řízení, </w:t>
      </w:r>
      <w:r w:rsidR="00F102C1">
        <w:rPr>
          <w:rFonts w:ascii="Book Antiqua" w:hAnsi="Book Antiqua"/>
        </w:rPr>
        <w:t>j</w:t>
      </w:r>
      <w:r w:rsidRPr="00302E3B">
        <w:rPr>
          <w:rFonts w:ascii="Book Antiqua" w:hAnsi="Book Antiqua"/>
        </w:rPr>
        <w:t xml:space="preserve"> (bez ohledu na výsledky připomínkového řízení) </w:t>
      </w:r>
      <w:r w:rsidR="00F102C1">
        <w:rPr>
          <w:rFonts w:ascii="Book Antiqua" w:hAnsi="Book Antiqua"/>
        </w:rPr>
        <w:t xml:space="preserve">pracuje na </w:t>
      </w:r>
      <w:r w:rsidRPr="00302E3B">
        <w:rPr>
          <w:rFonts w:ascii="Book Antiqua" w:hAnsi="Book Antiqua"/>
          <w:b/>
        </w:rPr>
        <w:t xml:space="preserve">vytvoření webu, který se bude </w:t>
      </w:r>
      <w:r w:rsidR="00F102C1">
        <w:rPr>
          <w:rFonts w:ascii="Book Antiqua" w:hAnsi="Book Antiqua"/>
          <w:b/>
        </w:rPr>
        <w:t xml:space="preserve">bez ohledu na připomínkové řízení </w:t>
      </w:r>
      <w:r w:rsidRPr="00302E3B">
        <w:rPr>
          <w:rFonts w:ascii="Book Antiqua" w:hAnsi="Book Antiqua"/>
          <w:b/>
        </w:rPr>
        <w:t xml:space="preserve">komplexně zaobírat vysvětlením a poučením </w:t>
      </w:r>
      <w:r w:rsidRPr="00302E3B">
        <w:rPr>
          <w:rFonts w:ascii="Book Antiqua" w:hAnsi="Book Antiqua"/>
        </w:rPr>
        <w:t>týkajícím se exekučního řízení.</w:t>
      </w:r>
      <w:r>
        <w:rPr>
          <w:rFonts w:ascii="Book Antiqua" w:hAnsi="Book Antiqua"/>
        </w:rPr>
        <w:t xml:space="preserve"> Tento způsob seznámení veřejnosti s exekučním řízení</w:t>
      </w:r>
      <w:r w:rsidR="00F102C1">
        <w:rPr>
          <w:rFonts w:ascii="Book Antiqua" w:hAnsi="Book Antiqua"/>
        </w:rPr>
        <w:t>m</w:t>
      </w:r>
      <w:r>
        <w:rPr>
          <w:rFonts w:ascii="Book Antiqua" w:hAnsi="Book Antiqua"/>
        </w:rPr>
        <w:t xml:space="preserve"> považujeme za inovativní a odpovídající stavu technologií 21. století – na rozdíl od snahy vysvětlovat komplexní fenomén (kterým exekuce jistě jsou) v jednotlivých listinách, z nichž se </w:t>
      </w:r>
      <w:r w:rsidR="00F102C1">
        <w:rPr>
          <w:rFonts w:ascii="Book Antiqua" w:hAnsi="Book Antiqua"/>
        </w:rPr>
        <w:t xml:space="preserve">až </w:t>
      </w:r>
      <w:r>
        <w:rPr>
          <w:rFonts w:ascii="Book Antiqua" w:hAnsi="Book Antiqua"/>
        </w:rPr>
        <w:t xml:space="preserve">80%  stejně doručuje fikcí, tedy dopad jakékoliv změny pro povinné bude </w:t>
      </w:r>
      <w:r w:rsidR="00F102C1">
        <w:rPr>
          <w:rFonts w:ascii="Book Antiqua" w:hAnsi="Book Antiqua"/>
        </w:rPr>
        <w:t xml:space="preserve">stejně </w:t>
      </w:r>
      <w:r>
        <w:rPr>
          <w:rFonts w:ascii="Book Antiqua" w:hAnsi="Book Antiqua"/>
        </w:rPr>
        <w:t xml:space="preserve">minimální. </w:t>
      </w:r>
    </w:p>
    <w:p w:rsidR="002C651E" w:rsidRDefault="002C651E" w:rsidP="002C651E">
      <w:pPr>
        <w:rPr>
          <w:rFonts w:ascii="Book Antiqua" w:hAnsi="Book Antiqua"/>
        </w:rPr>
      </w:pPr>
      <w:r>
        <w:rPr>
          <w:rFonts w:ascii="Book Antiqua" w:hAnsi="Book Antiqua"/>
        </w:rPr>
        <w:t xml:space="preserve">Předložené vzory písemností Komora proto </w:t>
      </w:r>
      <w:r w:rsidRPr="006970A6">
        <w:rPr>
          <w:rFonts w:ascii="Book Antiqua" w:hAnsi="Book Antiqua"/>
        </w:rPr>
        <w:t>vnímá jako ucelený vklad do debaty,</w:t>
      </w:r>
      <w:r>
        <w:rPr>
          <w:rFonts w:ascii="Book Antiqua" w:hAnsi="Book Antiqua"/>
        </w:rPr>
        <w:t xml:space="preserve"> která se má nyní posunout do další fáze, kterou bude </w:t>
      </w:r>
      <w:r w:rsidRPr="006970A6">
        <w:rPr>
          <w:rFonts w:ascii="Book Antiqua" w:hAnsi="Book Antiqua"/>
          <w:b/>
        </w:rPr>
        <w:t xml:space="preserve">dopracování </w:t>
      </w:r>
      <w:r>
        <w:rPr>
          <w:rFonts w:ascii="Book Antiqua" w:hAnsi="Book Antiqua"/>
        </w:rPr>
        <w:t xml:space="preserve">některých (nejvíce používaných) vzorů – Výzvy, Vyrozumění a exekučního příkazu srážkami ze mzdy, příp. přikázáním pohledávky z účtu, a vyzkoušení těchto vzorů v praxi v rámci pilotního provozu. </w:t>
      </w:r>
    </w:p>
    <w:p w:rsidR="002C651E" w:rsidRDefault="002C651E" w:rsidP="002C651E">
      <w:pPr>
        <w:rPr>
          <w:rFonts w:ascii="Book Antiqua" w:hAnsi="Book Antiqua"/>
        </w:rPr>
      </w:pPr>
    </w:p>
    <w:p w:rsidR="002C651E" w:rsidRDefault="002C651E" w:rsidP="00277C8F">
      <w:pPr>
        <w:pStyle w:val="Odstavecseseznamem"/>
        <w:numPr>
          <w:ilvl w:val="0"/>
          <w:numId w:val="29"/>
        </w:numPr>
        <w:rPr>
          <w:rFonts w:ascii="Book Antiqua" w:hAnsi="Book Antiqua"/>
        </w:rPr>
      </w:pPr>
      <w:r w:rsidRPr="002C651E">
        <w:rPr>
          <w:rFonts w:ascii="Book Antiqua" w:hAnsi="Book Antiqua"/>
        </w:rPr>
        <w:t xml:space="preserve">pohled </w:t>
      </w:r>
      <w:r>
        <w:rPr>
          <w:rFonts w:ascii="Book Antiqua" w:hAnsi="Book Antiqua"/>
        </w:rPr>
        <w:t>ekonomický</w:t>
      </w:r>
    </w:p>
    <w:p w:rsidR="003D1F4B" w:rsidRPr="003D1F4B" w:rsidRDefault="003D1F4B" w:rsidP="003D1F4B">
      <w:pPr>
        <w:pStyle w:val="Odstavecseseznamem"/>
        <w:ind w:left="1080"/>
        <w:rPr>
          <w:rFonts w:ascii="Book Antiqua" w:hAnsi="Book Antiqua"/>
        </w:rPr>
      </w:pPr>
    </w:p>
    <w:p w:rsidR="00605564" w:rsidRDefault="003D1F4B" w:rsidP="00605564">
      <w:pPr>
        <w:rPr>
          <w:rFonts w:ascii="Book Antiqua" w:hAnsi="Book Antiqua"/>
        </w:rPr>
      </w:pPr>
      <w:r>
        <w:rPr>
          <w:rFonts w:ascii="Book Antiqua" w:hAnsi="Book Antiqua"/>
        </w:rPr>
        <w:t>Je</w:t>
      </w:r>
      <w:r w:rsidR="00330019">
        <w:rPr>
          <w:rFonts w:ascii="Book Antiqua" w:hAnsi="Book Antiqua"/>
        </w:rPr>
        <w:t xml:space="preserve"> </w:t>
      </w:r>
      <w:r w:rsidR="00E85497">
        <w:rPr>
          <w:rFonts w:ascii="Book Antiqua" w:hAnsi="Book Antiqua"/>
        </w:rPr>
        <w:t>nutno zdůraznit</w:t>
      </w:r>
      <w:r w:rsidR="001B7CF1">
        <w:rPr>
          <w:rFonts w:ascii="Book Antiqua" w:hAnsi="Book Antiqua"/>
        </w:rPr>
        <w:t xml:space="preserve">, že ministerstvo spravedlnosti </w:t>
      </w:r>
      <w:r w:rsidR="00E85497">
        <w:rPr>
          <w:rFonts w:ascii="Book Antiqua" w:hAnsi="Book Antiqua"/>
        </w:rPr>
        <w:t xml:space="preserve">promarnilo </w:t>
      </w:r>
      <w:r w:rsidR="00554E78">
        <w:rPr>
          <w:rFonts w:ascii="Book Antiqua" w:hAnsi="Book Antiqua"/>
        </w:rPr>
        <w:t>možnost</w:t>
      </w:r>
      <w:r w:rsidR="001B7CF1">
        <w:rPr>
          <w:rFonts w:ascii="Book Antiqua" w:hAnsi="Book Antiqua"/>
        </w:rPr>
        <w:t xml:space="preserve"> </w:t>
      </w:r>
      <w:r w:rsidR="00554E78">
        <w:rPr>
          <w:rFonts w:ascii="Book Antiqua" w:hAnsi="Book Antiqua"/>
        </w:rPr>
        <w:t xml:space="preserve">vydat soubor vzorových </w:t>
      </w:r>
      <w:r w:rsidR="00277C8F">
        <w:rPr>
          <w:rFonts w:ascii="Book Antiqua" w:hAnsi="Book Antiqua"/>
        </w:rPr>
        <w:t xml:space="preserve">písemností soudních exekutorů v roce 2001 a </w:t>
      </w:r>
      <w:r w:rsidR="00330019">
        <w:rPr>
          <w:rFonts w:ascii="Book Antiqua" w:hAnsi="Book Antiqua"/>
        </w:rPr>
        <w:t>v letech bezprostředně následujících</w:t>
      </w:r>
      <w:r>
        <w:rPr>
          <w:rFonts w:ascii="Book Antiqua" w:hAnsi="Book Antiqua"/>
        </w:rPr>
        <w:t>. T</w:t>
      </w:r>
      <w:r w:rsidR="00554E78">
        <w:rPr>
          <w:rFonts w:ascii="Book Antiqua" w:hAnsi="Book Antiqua"/>
        </w:rPr>
        <w:t xml:space="preserve">akovými vzory byly </w:t>
      </w:r>
      <w:r>
        <w:rPr>
          <w:rFonts w:ascii="Book Antiqua" w:hAnsi="Book Antiqua"/>
        </w:rPr>
        <w:t xml:space="preserve">tehdy </w:t>
      </w:r>
      <w:r w:rsidR="00554E78">
        <w:rPr>
          <w:rFonts w:ascii="Book Antiqua" w:hAnsi="Book Antiqua"/>
        </w:rPr>
        <w:t xml:space="preserve">vybaveny soudy prvního i druhého stupně a jejich obsah </w:t>
      </w:r>
      <w:r w:rsidR="001B7CF1">
        <w:rPr>
          <w:rFonts w:ascii="Book Antiqua" w:hAnsi="Book Antiqua"/>
        </w:rPr>
        <w:t>byl</w:t>
      </w:r>
      <w:r w:rsidR="00554E78">
        <w:rPr>
          <w:rFonts w:ascii="Book Antiqua" w:hAnsi="Book Antiqua"/>
        </w:rPr>
        <w:t xml:space="preserve"> prověřen jejich pra</w:t>
      </w:r>
      <w:r w:rsidR="00CC7539">
        <w:rPr>
          <w:rFonts w:ascii="Book Antiqua" w:hAnsi="Book Antiqua"/>
        </w:rPr>
        <w:t>ktickým používáním</w:t>
      </w:r>
      <w:r w:rsidR="001B7CF1">
        <w:rPr>
          <w:rFonts w:ascii="Book Antiqua" w:hAnsi="Book Antiqua"/>
        </w:rPr>
        <w:t>.</w:t>
      </w:r>
      <w:r w:rsidR="00330019">
        <w:rPr>
          <w:rFonts w:ascii="Book Antiqua" w:hAnsi="Book Antiqua"/>
        </w:rPr>
        <w:t xml:space="preserve"> </w:t>
      </w:r>
      <w:r w:rsidR="00277C8F">
        <w:rPr>
          <w:rFonts w:ascii="Book Antiqua" w:hAnsi="Book Antiqua"/>
        </w:rPr>
        <w:t xml:space="preserve">Pakliže </w:t>
      </w:r>
      <w:r w:rsidR="00330019">
        <w:rPr>
          <w:rFonts w:ascii="Book Antiqua" w:hAnsi="Book Antiqua"/>
        </w:rPr>
        <w:t xml:space="preserve">stát chce </w:t>
      </w:r>
      <w:r w:rsidR="00554E78">
        <w:rPr>
          <w:rFonts w:ascii="Book Antiqua" w:hAnsi="Book Antiqua"/>
        </w:rPr>
        <w:t xml:space="preserve">regulovat obsah </w:t>
      </w:r>
      <w:r w:rsidR="00CC7539">
        <w:rPr>
          <w:rFonts w:ascii="Book Antiqua" w:hAnsi="Book Antiqua"/>
        </w:rPr>
        <w:t xml:space="preserve">písemností soudních exekutorů </w:t>
      </w:r>
      <w:r w:rsidR="00554E78">
        <w:rPr>
          <w:rFonts w:ascii="Book Antiqua" w:hAnsi="Book Antiqua"/>
        </w:rPr>
        <w:t xml:space="preserve">v době, kdy je míra elektronizace </w:t>
      </w:r>
      <w:r w:rsidR="00CC7539">
        <w:rPr>
          <w:rFonts w:ascii="Book Antiqua" w:hAnsi="Book Antiqua"/>
        </w:rPr>
        <w:t xml:space="preserve">jejich </w:t>
      </w:r>
      <w:r w:rsidR="00554E78">
        <w:rPr>
          <w:rFonts w:ascii="Book Antiqua" w:hAnsi="Book Antiqua"/>
        </w:rPr>
        <w:t xml:space="preserve">činnosti na </w:t>
      </w:r>
      <w:r w:rsidR="00CC7539">
        <w:rPr>
          <w:rFonts w:ascii="Book Antiqua" w:hAnsi="Book Antiqua"/>
        </w:rPr>
        <w:t xml:space="preserve">velmi vysoké </w:t>
      </w:r>
      <w:r w:rsidR="001B7CF1">
        <w:rPr>
          <w:rFonts w:ascii="Book Antiqua" w:hAnsi="Book Antiqua"/>
        </w:rPr>
        <w:t>úrovni a počty vydávaných rozhodnutí mnohonásobně převyšují</w:t>
      </w:r>
      <w:r w:rsidR="00CC7539">
        <w:rPr>
          <w:rFonts w:ascii="Book Antiqua" w:hAnsi="Book Antiqua"/>
        </w:rPr>
        <w:t xml:space="preserve"> vydávání písemností soudy na úseku výkonu rozhodnutí</w:t>
      </w:r>
      <w:r w:rsidR="00330019">
        <w:rPr>
          <w:rFonts w:ascii="Book Antiqua" w:hAnsi="Book Antiqua"/>
        </w:rPr>
        <w:t>, je nezbytné říc</w:t>
      </w:r>
      <w:r w:rsidR="001B7CF1">
        <w:rPr>
          <w:rFonts w:ascii="Book Antiqua" w:hAnsi="Book Antiqua"/>
        </w:rPr>
        <w:t xml:space="preserve">i, že v takovém případě </w:t>
      </w:r>
      <w:r w:rsidR="00605564">
        <w:rPr>
          <w:rFonts w:ascii="Book Antiqua" w:hAnsi="Book Antiqua"/>
        </w:rPr>
        <w:t xml:space="preserve">si </w:t>
      </w:r>
      <w:r w:rsidR="00CC7539">
        <w:rPr>
          <w:rFonts w:ascii="Book Antiqua" w:hAnsi="Book Antiqua"/>
        </w:rPr>
        <w:t xml:space="preserve">ministerstvem zamýšlená </w:t>
      </w:r>
      <w:r w:rsidR="00330019">
        <w:rPr>
          <w:rFonts w:ascii="Book Antiqua" w:hAnsi="Book Antiqua"/>
        </w:rPr>
        <w:t xml:space="preserve">změna šablon </w:t>
      </w:r>
      <w:r w:rsidR="00CC7539" w:rsidRPr="00330019">
        <w:rPr>
          <w:rFonts w:ascii="Book Antiqua" w:hAnsi="Book Antiqua"/>
          <w:b/>
        </w:rPr>
        <w:t>vyžádá</w:t>
      </w:r>
      <w:r w:rsidR="00CC7539">
        <w:rPr>
          <w:rFonts w:ascii="Book Antiqua" w:hAnsi="Book Antiqua"/>
        </w:rPr>
        <w:t xml:space="preserve"> </w:t>
      </w:r>
      <w:r w:rsidR="00F102C1" w:rsidRPr="00330019">
        <w:rPr>
          <w:rFonts w:ascii="Book Antiqua" w:hAnsi="Book Antiqua"/>
          <w:b/>
        </w:rPr>
        <w:t>nemalé náklady</w:t>
      </w:r>
      <w:r w:rsidR="00F102C1">
        <w:rPr>
          <w:rFonts w:ascii="Book Antiqua" w:hAnsi="Book Antiqua"/>
        </w:rPr>
        <w:t xml:space="preserve"> </w:t>
      </w:r>
      <w:r w:rsidR="00CC7539">
        <w:rPr>
          <w:rFonts w:ascii="Book Antiqua" w:hAnsi="Book Antiqua"/>
        </w:rPr>
        <w:t xml:space="preserve">jak </w:t>
      </w:r>
      <w:r w:rsidR="00605564">
        <w:rPr>
          <w:rFonts w:ascii="Book Antiqua" w:hAnsi="Book Antiqua"/>
        </w:rPr>
        <w:t xml:space="preserve">na straně </w:t>
      </w:r>
      <w:r w:rsidR="00F102C1">
        <w:rPr>
          <w:rFonts w:ascii="Book Antiqua" w:hAnsi="Book Antiqua"/>
        </w:rPr>
        <w:t xml:space="preserve">samotných účastníků řízení, tak na straně soudních </w:t>
      </w:r>
      <w:r w:rsidR="00605564">
        <w:rPr>
          <w:rFonts w:ascii="Book Antiqua" w:hAnsi="Book Antiqua"/>
        </w:rPr>
        <w:t>exekutorů</w:t>
      </w:r>
      <w:r w:rsidR="00F102C1">
        <w:rPr>
          <w:rFonts w:ascii="Book Antiqua" w:hAnsi="Book Antiqua"/>
        </w:rPr>
        <w:t>i samotné</w:t>
      </w:r>
      <w:r w:rsidR="001B7CF1">
        <w:rPr>
          <w:rFonts w:ascii="Book Antiqua" w:hAnsi="Book Antiqua"/>
        </w:rPr>
        <w:t xml:space="preserve"> </w:t>
      </w:r>
      <w:r w:rsidR="00605564">
        <w:rPr>
          <w:rFonts w:ascii="Book Antiqua" w:hAnsi="Book Antiqua"/>
        </w:rPr>
        <w:t>Komory</w:t>
      </w:r>
      <w:r w:rsidR="006C3E27">
        <w:rPr>
          <w:rFonts w:ascii="Book Antiqua" w:hAnsi="Book Antiqua"/>
        </w:rPr>
        <w:t xml:space="preserve">, </w:t>
      </w:r>
      <w:r w:rsidR="00330019">
        <w:rPr>
          <w:rFonts w:ascii="Book Antiqua" w:hAnsi="Book Antiqua"/>
        </w:rPr>
        <w:t xml:space="preserve">, nad jejichž kompenzací je na místě se vážně zamyslet. </w:t>
      </w:r>
    </w:p>
    <w:p w:rsidR="00C50784" w:rsidRDefault="00D51D5C" w:rsidP="005105EB">
      <w:pPr>
        <w:shd w:val="clear" w:color="auto" w:fill="FFFFFF"/>
        <w:ind w:left="567" w:right="708"/>
        <w:rPr>
          <w:rFonts w:ascii="Book Antiqua" w:hAnsi="Book Antiqua"/>
          <w:i/>
        </w:rPr>
      </w:pPr>
      <w:r w:rsidRPr="00605564">
        <w:rPr>
          <w:rFonts w:ascii="Book Antiqua" w:hAnsi="Book Antiqua"/>
          <w:i/>
        </w:rPr>
        <w:t xml:space="preserve">V případě </w:t>
      </w:r>
      <w:r>
        <w:rPr>
          <w:rFonts w:ascii="Book Antiqua" w:hAnsi="Book Antiqua"/>
          <w:i/>
        </w:rPr>
        <w:t xml:space="preserve">předkládané </w:t>
      </w:r>
      <w:r w:rsidRPr="00605564">
        <w:rPr>
          <w:rFonts w:ascii="Book Antiqua" w:hAnsi="Book Antiqua"/>
          <w:i/>
        </w:rPr>
        <w:t xml:space="preserve">verze se předpokládá </w:t>
      </w:r>
      <w:r>
        <w:rPr>
          <w:rFonts w:ascii="Book Antiqua" w:hAnsi="Book Antiqua"/>
          <w:i/>
        </w:rPr>
        <w:t xml:space="preserve">středně rozsáhlé </w:t>
      </w:r>
      <w:r w:rsidRPr="00605564">
        <w:rPr>
          <w:rFonts w:ascii="Book Antiqua" w:hAnsi="Book Antiqua"/>
          <w:i/>
        </w:rPr>
        <w:t xml:space="preserve">rozšíření </w:t>
      </w:r>
      <w:r>
        <w:rPr>
          <w:rFonts w:ascii="Book Antiqua" w:hAnsi="Book Antiqua"/>
          <w:i/>
        </w:rPr>
        <w:t>listin</w:t>
      </w:r>
      <w:r w:rsidRPr="00605564">
        <w:rPr>
          <w:rFonts w:ascii="Book Antiqua" w:hAnsi="Book Antiqua"/>
          <w:i/>
        </w:rPr>
        <w:t xml:space="preserve"> nad stávají</w:t>
      </w:r>
      <w:r>
        <w:rPr>
          <w:rFonts w:ascii="Book Antiqua" w:hAnsi="Book Antiqua"/>
          <w:i/>
        </w:rPr>
        <w:t>cí</w:t>
      </w:r>
      <w:r w:rsidRPr="00605564">
        <w:rPr>
          <w:rFonts w:ascii="Book Antiqua" w:hAnsi="Book Antiqua"/>
          <w:i/>
        </w:rPr>
        <w:t xml:space="preserve"> rozsah (cca o 1</w:t>
      </w:r>
      <w:r>
        <w:rPr>
          <w:rFonts w:ascii="Book Antiqua" w:hAnsi="Book Antiqua"/>
          <w:i/>
        </w:rPr>
        <w:t xml:space="preserve"> - 2 strany každého rozhodnutí</w:t>
      </w:r>
      <w:r w:rsidRPr="00605564">
        <w:rPr>
          <w:rFonts w:ascii="Book Antiqua" w:hAnsi="Book Antiqua"/>
          <w:i/>
        </w:rPr>
        <w:t xml:space="preserve">), takže výše poštovného </w:t>
      </w:r>
      <w:r w:rsidR="006C3E27">
        <w:rPr>
          <w:rFonts w:ascii="Book Antiqua" w:hAnsi="Book Antiqua"/>
          <w:i/>
        </w:rPr>
        <w:t xml:space="preserve">tím bude </w:t>
      </w:r>
      <w:r>
        <w:rPr>
          <w:rFonts w:ascii="Book Antiqua" w:hAnsi="Book Antiqua"/>
          <w:i/>
        </w:rPr>
        <w:t>ovlivněna. Navýšení poštovného na jednu zásilku se může pohybovat ve výši mezi 2</w:t>
      </w:r>
      <w:r w:rsidR="005105EB">
        <w:rPr>
          <w:rFonts w:ascii="Book Antiqua" w:hAnsi="Book Antiqua"/>
          <w:i/>
        </w:rPr>
        <w:t xml:space="preserve"> – 6 Kč. P</w:t>
      </w:r>
      <w:r w:rsidR="006C3E27">
        <w:rPr>
          <w:rFonts w:ascii="Book Antiqua" w:hAnsi="Book Antiqua"/>
          <w:i/>
        </w:rPr>
        <w:t>okud vycházíme z průměrného poč</w:t>
      </w:r>
      <w:r>
        <w:rPr>
          <w:rFonts w:ascii="Book Antiqua" w:hAnsi="Book Antiqua"/>
          <w:i/>
        </w:rPr>
        <w:t xml:space="preserve">tu </w:t>
      </w:r>
      <w:r w:rsidR="006C3E27">
        <w:rPr>
          <w:rFonts w:ascii="Book Antiqua" w:hAnsi="Book Antiqua"/>
          <w:i/>
        </w:rPr>
        <w:t xml:space="preserve">5 - 10 relevantních </w:t>
      </w:r>
      <w:r>
        <w:rPr>
          <w:rFonts w:ascii="Book Antiqua" w:hAnsi="Book Antiqua"/>
          <w:i/>
        </w:rPr>
        <w:t xml:space="preserve">zásilek </w:t>
      </w:r>
      <w:r w:rsidR="006C3E27">
        <w:rPr>
          <w:rFonts w:ascii="Book Antiqua" w:hAnsi="Book Antiqua"/>
          <w:i/>
        </w:rPr>
        <w:t>(</w:t>
      </w:r>
      <w:r w:rsidR="006C3E27" w:rsidRPr="006C3E27">
        <w:rPr>
          <w:rFonts w:ascii="Book Antiqua" w:hAnsi="Book Antiqua"/>
          <w:i/>
        </w:rPr>
        <w:t>tj. zásilek, které se doručují pomocí poštovních služeb, které obsahují Výzvu, Vyrozumění, exekučních příkaz či Příkaz k úhradě nákladů exekuce</w:t>
      </w:r>
      <w:r w:rsidR="006C3E27">
        <w:rPr>
          <w:rFonts w:ascii="Book Antiqua" w:hAnsi="Book Antiqua"/>
          <w:i/>
        </w:rPr>
        <w:t>) na jedno zahájené exekuční řízení (</w:t>
      </w:r>
      <w:r w:rsidR="005105EB">
        <w:rPr>
          <w:rFonts w:ascii="Book Antiqua" w:hAnsi="Book Antiqua"/>
          <w:i/>
        </w:rPr>
        <w:t>ostatní se doručuje</w:t>
      </w:r>
      <w:r w:rsidR="006C3E27">
        <w:rPr>
          <w:rFonts w:ascii="Book Antiqua" w:hAnsi="Book Antiqua"/>
          <w:i/>
        </w:rPr>
        <w:t xml:space="preserve"> zejm. datovými schránkami), což při průměrném počtu 4000 nových exekučních řízení </w:t>
      </w:r>
      <w:r w:rsidR="005105EB">
        <w:rPr>
          <w:rFonts w:ascii="Book Antiqua" w:hAnsi="Book Antiqua"/>
          <w:i/>
        </w:rPr>
        <w:t xml:space="preserve">ročně </w:t>
      </w:r>
      <w:r w:rsidR="006C3E27">
        <w:rPr>
          <w:rFonts w:ascii="Book Antiqua" w:hAnsi="Book Antiqua"/>
          <w:i/>
        </w:rPr>
        <w:t>činí navý</w:t>
      </w:r>
      <w:r w:rsidR="005105EB">
        <w:rPr>
          <w:rFonts w:ascii="Book Antiqua" w:hAnsi="Book Antiqua"/>
          <w:i/>
        </w:rPr>
        <w:t xml:space="preserve">šení nákladů na poštovné ve výši </w:t>
      </w:r>
      <w:r w:rsidR="005105EB" w:rsidRPr="005105EB">
        <w:rPr>
          <w:rFonts w:ascii="Book Antiqua" w:hAnsi="Book Antiqua"/>
          <w:b/>
          <w:i/>
        </w:rPr>
        <w:t>40 000 – 240 000 Kč, tj. až 36 960 000 Kč</w:t>
      </w:r>
      <w:r w:rsidR="005105EB">
        <w:rPr>
          <w:rFonts w:ascii="Book Antiqua" w:hAnsi="Book Antiqua"/>
          <w:i/>
        </w:rPr>
        <w:t xml:space="preserve"> pro všechna exekuční řízení dohromady. </w:t>
      </w:r>
      <w:r>
        <w:rPr>
          <w:rFonts w:ascii="Book Antiqua" w:hAnsi="Book Antiqua"/>
          <w:i/>
        </w:rPr>
        <w:t xml:space="preserve">Co se </w:t>
      </w:r>
      <w:r w:rsidRPr="00605564">
        <w:rPr>
          <w:rFonts w:ascii="Book Antiqua" w:hAnsi="Book Antiqua"/>
          <w:i/>
        </w:rPr>
        <w:t>tisku týká, lze očekávat navý</w:t>
      </w:r>
      <w:r w:rsidR="00C50784">
        <w:rPr>
          <w:rFonts w:ascii="Book Antiqua" w:hAnsi="Book Antiqua"/>
          <w:i/>
        </w:rPr>
        <w:t>šení o 0,30 – 0,6</w:t>
      </w:r>
      <w:r w:rsidR="005105EB">
        <w:rPr>
          <w:rFonts w:ascii="Book Antiqua" w:hAnsi="Book Antiqua"/>
          <w:i/>
        </w:rPr>
        <w:t>0 Kč na jednu písemnost</w:t>
      </w:r>
      <w:r w:rsidRPr="00605564">
        <w:rPr>
          <w:rFonts w:ascii="Book Antiqua" w:hAnsi="Book Antiqua"/>
          <w:i/>
        </w:rPr>
        <w:t xml:space="preserve">, tj. </w:t>
      </w:r>
      <w:r w:rsidR="00C50784">
        <w:rPr>
          <w:rFonts w:ascii="Book Antiqua" w:hAnsi="Book Antiqua"/>
          <w:i/>
        </w:rPr>
        <w:t xml:space="preserve">vycházíme-li z průměrného počtu 6 - 12 tištěných písemností (tj. všechny, které se doručují v listinné podobě + k zařazení do listinného spisu, je-li veden atp.) činí navýšení nákladů na tisk při průměrném počtu 4000 nových exekučních řízení ročně celkem </w:t>
      </w:r>
      <w:r w:rsidR="00C50784">
        <w:rPr>
          <w:rFonts w:ascii="Book Antiqua" w:hAnsi="Book Antiqua"/>
          <w:b/>
          <w:i/>
        </w:rPr>
        <w:t>7 200</w:t>
      </w:r>
      <w:r w:rsidR="00C50784" w:rsidRPr="005105EB">
        <w:rPr>
          <w:rFonts w:ascii="Book Antiqua" w:hAnsi="Book Antiqua"/>
          <w:b/>
          <w:i/>
        </w:rPr>
        <w:t xml:space="preserve"> – </w:t>
      </w:r>
      <w:r w:rsidR="00C50784">
        <w:rPr>
          <w:rFonts w:ascii="Book Antiqua" w:hAnsi="Book Antiqua"/>
          <w:b/>
          <w:i/>
        </w:rPr>
        <w:t>28 8</w:t>
      </w:r>
      <w:r w:rsidR="00C50784" w:rsidRPr="005105EB">
        <w:rPr>
          <w:rFonts w:ascii="Book Antiqua" w:hAnsi="Book Antiqua"/>
          <w:b/>
          <w:i/>
        </w:rPr>
        <w:t xml:space="preserve">00 Kč, tj. až </w:t>
      </w:r>
      <w:r w:rsidR="00C50784">
        <w:rPr>
          <w:rFonts w:ascii="Book Antiqua" w:hAnsi="Book Antiqua"/>
          <w:b/>
          <w:i/>
        </w:rPr>
        <w:t>4</w:t>
      </w:r>
      <w:r w:rsidR="00C50784" w:rsidRPr="005105EB">
        <w:rPr>
          <w:rFonts w:ascii="Book Antiqua" w:hAnsi="Book Antiqua"/>
          <w:b/>
          <w:i/>
        </w:rPr>
        <w:t> </w:t>
      </w:r>
      <w:r w:rsidR="00C50784">
        <w:rPr>
          <w:rFonts w:ascii="Book Antiqua" w:hAnsi="Book Antiqua"/>
          <w:b/>
          <w:i/>
        </w:rPr>
        <w:t>435</w:t>
      </w:r>
      <w:r w:rsidR="00C50784" w:rsidRPr="005105EB">
        <w:rPr>
          <w:rFonts w:ascii="Book Antiqua" w:hAnsi="Book Antiqua"/>
          <w:b/>
          <w:i/>
        </w:rPr>
        <w:t> </w:t>
      </w:r>
      <w:r w:rsidR="00C50784">
        <w:rPr>
          <w:rFonts w:ascii="Book Antiqua" w:hAnsi="Book Antiqua"/>
          <w:b/>
          <w:i/>
        </w:rPr>
        <w:t>2</w:t>
      </w:r>
      <w:r w:rsidR="00C50784" w:rsidRPr="005105EB">
        <w:rPr>
          <w:rFonts w:ascii="Book Antiqua" w:hAnsi="Book Antiqua"/>
          <w:b/>
          <w:i/>
        </w:rPr>
        <w:t>00 Kč</w:t>
      </w:r>
      <w:r w:rsidR="00C50784">
        <w:rPr>
          <w:rFonts w:ascii="Book Antiqua" w:hAnsi="Book Antiqua"/>
          <w:i/>
        </w:rPr>
        <w:t xml:space="preserve"> pro všechna exekuční řízení dohromady.</w:t>
      </w:r>
    </w:p>
    <w:p w:rsidR="00C50784" w:rsidRDefault="00C50784" w:rsidP="005105EB">
      <w:pPr>
        <w:shd w:val="clear" w:color="auto" w:fill="FFFFFF"/>
        <w:ind w:left="567" w:right="708"/>
        <w:rPr>
          <w:rFonts w:ascii="Book Antiqua" w:hAnsi="Book Antiqua"/>
          <w:i/>
        </w:rPr>
      </w:pPr>
    </w:p>
    <w:p w:rsidR="00C50784" w:rsidRDefault="00C50784" w:rsidP="00C50784">
      <w:pPr>
        <w:shd w:val="clear" w:color="auto" w:fill="FFFFFF"/>
        <w:ind w:left="567" w:right="708"/>
        <w:rPr>
          <w:rFonts w:ascii="Book Antiqua" w:hAnsi="Book Antiqua"/>
          <w:i/>
        </w:rPr>
      </w:pPr>
      <w:r>
        <w:rPr>
          <w:rFonts w:ascii="Book Antiqua" w:hAnsi="Book Antiqua"/>
          <w:i/>
        </w:rPr>
        <w:t xml:space="preserve">Celkem tedy změna šablon přinesou pro účastníky řízení navýšení nákladů až ve výši 40 000 000 mil. Kč </w:t>
      </w:r>
      <w:r>
        <w:rPr>
          <w:rFonts w:ascii="Book Antiqua" w:hAnsi="Book Antiqua"/>
          <w:b/>
          <w:i/>
        </w:rPr>
        <w:t>ročně</w:t>
      </w:r>
      <w:r>
        <w:rPr>
          <w:rFonts w:ascii="Book Antiqua" w:hAnsi="Book Antiqua"/>
          <w:i/>
        </w:rPr>
        <w:t xml:space="preserve">. </w:t>
      </w:r>
    </w:p>
    <w:p w:rsidR="00D51D5C" w:rsidRPr="00C50784" w:rsidRDefault="00D51D5C" w:rsidP="00C50784">
      <w:pPr>
        <w:shd w:val="clear" w:color="auto" w:fill="FFFFFF"/>
        <w:ind w:right="708"/>
        <w:rPr>
          <w:rFonts w:ascii="Book Antiqua" w:hAnsi="Book Antiqua"/>
          <w:i/>
        </w:rPr>
      </w:pPr>
      <w:r>
        <w:rPr>
          <w:rFonts w:ascii="Book Antiqua" w:hAnsi="Book Antiqua"/>
        </w:rPr>
        <w:t xml:space="preserve">Shora uvedené vynucené náklady by šly </w:t>
      </w:r>
      <w:r w:rsidRPr="00C50784">
        <w:rPr>
          <w:rFonts w:ascii="Book Antiqua" w:hAnsi="Book Antiqua"/>
          <w:b/>
        </w:rPr>
        <w:t>především k tíži povinných</w:t>
      </w:r>
      <w:r>
        <w:rPr>
          <w:rFonts w:ascii="Book Antiqua" w:hAnsi="Book Antiqua"/>
        </w:rPr>
        <w:t xml:space="preserve">. Za situace, kdy je však </w:t>
      </w:r>
      <w:r w:rsidR="00F102C1">
        <w:rPr>
          <w:rFonts w:ascii="Book Antiqua" w:hAnsi="Book Antiqua"/>
        </w:rPr>
        <w:t xml:space="preserve">až </w:t>
      </w:r>
      <w:r>
        <w:rPr>
          <w:rFonts w:ascii="Book Antiqua" w:hAnsi="Book Antiqua"/>
        </w:rPr>
        <w:t xml:space="preserve">80% písemností doručováno jejich vyvěšením na úřední desku soudních exekutorů a stejné </w:t>
      </w:r>
      <w:r w:rsidR="006C3E27">
        <w:rPr>
          <w:rFonts w:ascii="Book Antiqua" w:hAnsi="Book Antiqua"/>
        </w:rPr>
        <w:t>procento</w:t>
      </w:r>
      <w:r>
        <w:rPr>
          <w:rFonts w:ascii="Book Antiqua" w:hAnsi="Book Antiqua"/>
        </w:rPr>
        <w:t xml:space="preserve"> exekucí končí jejich bezvýsledností, je však také nutno podtrhnout, že zvýšené náklady by nesli </w:t>
      </w:r>
      <w:r w:rsidR="00C50784">
        <w:rPr>
          <w:rFonts w:ascii="Book Antiqua" w:hAnsi="Book Antiqua"/>
        </w:rPr>
        <w:t xml:space="preserve">z části i </w:t>
      </w:r>
      <w:r>
        <w:rPr>
          <w:rFonts w:ascii="Book Antiqua" w:hAnsi="Book Antiqua"/>
        </w:rPr>
        <w:t xml:space="preserve">sami soudní exekutoři, kteří jsou po nedávané změně exekutorského </w:t>
      </w:r>
      <w:r w:rsidR="006C3E27">
        <w:rPr>
          <w:rFonts w:ascii="Book Antiqua" w:hAnsi="Book Antiqua"/>
        </w:rPr>
        <w:t>tarifu na</w:t>
      </w:r>
      <w:r>
        <w:rPr>
          <w:rFonts w:ascii="Book Antiqua" w:hAnsi="Book Antiqua"/>
        </w:rPr>
        <w:t xml:space="preserve"> hraně či za hranou ekon</w:t>
      </w:r>
      <w:r w:rsidR="006C3E27">
        <w:rPr>
          <w:rFonts w:ascii="Book Antiqua" w:hAnsi="Book Antiqua"/>
        </w:rPr>
        <w:t xml:space="preserve">omické únosnosti své činnost. </w:t>
      </w:r>
      <w:r>
        <w:rPr>
          <w:rFonts w:ascii="Book Antiqua" w:hAnsi="Book Antiqua"/>
        </w:rPr>
        <w:t>A to ne</w:t>
      </w:r>
      <w:r w:rsidR="00C50784">
        <w:rPr>
          <w:rFonts w:ascii="Book Antiqua" w:hAnsi="Book Antiqua"/>
        </w:rPr>
        <w:t>lze opomenout ani další náklady:</w:t>
      </w:r>
    </w:p>
    <w:p w:rsidR="00605564" w:rsidRPr="00605564" w:rsidRDefault="00605564" w:rsidP="00605564">
      <w:pPr>
        <w:shd w:val="clear" w:color="auto" w:fill="FFFFFF"/>
        <w:ind w:left="567" w:right="708"/>
        <w:rPr>
          <w:rFonts w:ascii="Book Antiqua" w:hAnsi="Book Antiqua"/>
          <w:i/>
        </w:rPr>
      </w:pPr>
      <w:r w:rsidRPr="00605564">
        <w:rPr>
          <w:rFonts w:ascii="Book Antiqua" w:hAnsi="Book Antiqua"/>
          <w:i/>
        </w:rPr>
        <w:t>V případě změn šablon v předkládané</w:t>
      </w:r>
      <w:r w:rsidR="00C6203D">
        <w:rPr>
          <w:rFonts w:ascii="Book Antiqua" w:hAnsi="Book Antiqua"/>
          <w:i/>
        </w:rPr>
        <w:t xml:space="preserve"> verzi lze počítat </w:t>
      </w:r>
      <w:r w:rsidR="00C6203D" w:rsidRPr="00C6203D">
        <w:rPr>
          <w:rFonts w:ascii="Book Antiqua" w:hAnsi="Book Antiqua"/>
          <w:i/>
        </w:rPr>
        <w:t xml:space="preserve">náklady (zejm. jde o personální a ICT náklady) </w:t>
      </w:r>
      <w:r w:rsidRPr="00C6203D">
        <w:rPr>
          <w:rFonts w:ascii="Book Antiqua" w:hAnsi="Book Antiqua"/>
          <w:i/>
        </w:rPr>
        <w:t>u exekutora ve výši 2 500 – 7 500</w:t>
      </w:r>
      <w:r w:rsidRPr="00605564">
        <w:rPr>
          <w:rFonts w:ascii="Book Antiqua" w:hAnsi="Book Antiqua"/>
          <w:i/>
        </w:rPr>
        <w:t xml:space="preserve"> Kč na jednu šablonu v závislosti na druhu informačního systému a konečné podoby formulářů. Např. tedy v případě Výzvy, Vyrozumění</w:t>
      </w:r>
      <w:r>
        <w:rPr>
          <w:rFonts w:ascii="Book Antiqua" w:hAnsi="Book Antiqua"/>
          <w:i/>
        </w:rPr>
        <w:t>, PÚNE</w:t>
      </w:r>
      <w:r w:rsidRPr="00605564">
        <w:rPr>
          <w:rFonts w:ascii="Book Antiqua" w:hAnsi="Book Antiqua"/>
          <w:i/>
        </w:rPr>
        <w:t xml:space="preserve"> a </w:t>
      </w:r>
      <w:r>
        <w:rPr>
          <w:rFonts w:ascii="Book Antiqua" w:hAnsi="Book Antiqua"/>
          <w:i/>
        </w:rPr>
        <w:t>dvaceti</w:t>
      </w:r>
      <w:r w:rsidRPr="00605564">
        <w:rPr>
          <w:rFonts w:ascii="Book Antiqua" w:hAnsi="Book Antiqua"/>
          <w:i/>
        </w:rPr>
        <w:t xml:space="preserve"> typů exekučních příkazů to bude činit </w:t>
      </w:r>
      <w:r>
        <w:rPr>
          <w:rFonts w:ascii="Book Antiqua" w:hAnsi="Book Antiqua"/>
          <w:i/>
        </w:rPr>
        <w:t>57 5</w:t>
      </w:r>
      <w:r w:rsidRPr="00605564">
        <w:rPr>
          <w:rFonts w:ascii="Book Antiqua" w:hAnsi="Book Antiqua"/>
          <w:i/>
        </w:rPr>
        <w:t xml:space="preserve">00 – </w:t>
      </w:r>
      <w:r>
        <w:rPr>
          <w:rFonts w:ascii="Book Antiqua" w:hAnsi="Book Antiqua"/>
          <w:i/>
        </w:rPr>
        <w:t>172 5</w:t>
      </w:r>
      <w:r w:rsidRPr="00605564">
        <w:rPr>
          <w:rFonts w:ascii="Book Antiqua" w:hAnsi="Book Antiqua"/>
          <w:i/>
        </w:rPr>
        <w:t xml:space="preserve">00 Kč. Jde o náklady jednorázového charakteru, </w:t>
      </w:r>
      <w:r w:rsidRPr="00605564">
        <w:rPr>
          <w:rFonts w:ascii="Book Antiqua" w:hAnsi="Book Antiqua"/>
          <w:i/>
          <w:u w:val="single"/>
        </w:rPr>
        <w:t>které nezohledňují potřebu změn šablon v budoucnu</w:t>
      </w:r>
      <w:r w:rsidRPr="00605564">
        <w:rPr>
          <w:rFonts w:ascii="Book Antiqua" w:hAnsi="Book Antiqua"/>
          <w:i/>
        </w:rPr>
        <w:t xml:space="preserve">. </w:t>
      </w:r>
    </w:p>
    <w:p w:rsidR="00C50784" w:rsidRDefault="00605564" w:rsidP="00A56BA4">
      <w:pPr>
        <w:shd w:val="clear" w:color="auto" w:fill="FFFFFF"/>
        <w:ind w:left="567" w:right="708"/>
        <w:rPr>
          <w:rFonts w:ascii="Book Antiqua" w:hAnsi="Book Antiqua"/>
          <w:i/>
        </w:rPr>
      </w:pPr>
      <w:r w:rsidRPr="002C651E">
        <w:rPr>
          <w:rFonts w:ascii="Book Antiqua" w:hAnsi="Book Antiqua"/>
          <w:i/>
        </w:rPr>
        <w:t xml:space="preserve">Vytvoření centrálního webu </w:t>
      </w:r>
      <w:r w:rsidR="002C651E" w:rsidRPr="002C651E">
        <w:rPr>
          <w:rFonts w:ascii="Book Antiqua" w:hAnsi="Book Antiqua"/>
          <w:i/>
        </w:rPr>
        <w:t xml:space="preserve">Komory </w:t>
      </w:r>
      <w:r w:rsidRPr="002C651E">
        <w:rPr>
          <w:rFonts w:ascii="Book Antiqua" w:hAnsi="Book Antiqua"/>
          <w:i/>
        </w:rPr>
        <w:t>lze</w:t>
      </w:r>
      <w:r w:rsidRPr="00605564">
        <w:rPr>
          <w:rFonts w:ascii="Book Antiqua" w:hAnsi="Book Antiqua"/>
          <w:i/>
        </w:rPr>
        <w:t xml:space="preserve"> odhadnout v závislosti na poptávané platformě mezi 150 000 Kč – 250 000 Kč jednorázově a cca 60 000 Kč – 120 000 Kč každý rok na správu a provozní aktualizace.</w:t>
      </w:r>
    </w:p>
    <w:p w:rsidR="00E739CE" w:rsidRPr="00A56BA4" w:rsidRDefault="00C50784" w:rsidP="00A56BA4">
      <w:pPr>
        <w:shd w:val="clear" w:color="auto" w:fill="FFFFFF"/>
        <w:ind w:left="567" w:right="708"/>
        <w:rPr>
          <w:rFonts w:ascii="Book Antiqua" w:hAnsi="Book Antiqua"/>
          <w:i/>
        </w:rPr>
      </w:pPr>
      <w:r>
        <w:rPr>
          <w:rFonts w:ascii="Book Antiqua" w:hAnsi="Book Antiqua"/>
          <w:i/>
        </w:rPr>
        <w:t>Celkové náklady</w:t>
      </w:r>
      <w:r w:rsidR="00A56BA4">
        <w:rPr>
          <w:rFonts w:ascii="Book Antiqua" w:hAnsi="Book Antiqua"/>
          <w:i/>
        </w:rPr>
        <w:t xml:space="preserve"> soudních exekutorů</w:t>
      </w:r>
      <w:r>
        <w:rPr>
          <w:rFonts w:ascii="Book Antiqua" w:hAnsi="Book Antiqua"/>
          <w:i/>
        </w:rPr>
        <w:t xml:space="preserve"> (vyjma poštovného a tisku, které částečně exekutoři ponesou ze svého)</w:t>
      </w:r>
      <w:r w:rsidR="00A56BA4">
        <w:rPr>
          <w:rFonts w:ascii="Book Antiqua" w:hAnsi="Book Antiqua"/>
          <w:i/>
        </w:rPr>
        <w:t xml:space="preserve"> tedy činí </w:t>
      </w:r>
      <w:r w:rsidR="00A56BA4" w:rsidRPr="00A56BA4">
        <w:rPr>
          <w:rFonts w:ascii="Book Antiqua" w:hAnsi="Book Antiqua"/>
          <w:b/>
          <w:i/>
        </w:rPr>
        <w:t>jednorázově cca 9 – 26 mil. Kč</w:t>
      </w:r>
      <w:r w:rsidR="00A56BA4">
        <w:rPr>
          <w:rFonts w:ascii="Book Antiqua" w:hAnsi="Book Antiqua"/>
          <w:i/>
        </w:rPr>
        <w:t>.</w:t>
      </w:r>
    </w:p>
    <w:p w:rsidR="00D90B2F" w:rsidRDefault="009666B6" w:rsidP="00E739CE">
      <w:pPr>
        <w:rPr>
          <w:rFonts w:ascii="Book Antiqua" w:hAnsi="Book Antiqua"/>
        </w:rPr>
      </w:pPr>
      <w:r>
        <w:rPr>
          <w:rFonts w:ascii="Book Antiqua" w:hAnsi="Book Antiqua"/>
        </w:rPr>
        <w:t xml:space="preserve">Ze shora uvedeného důvodu je namístě </w:t>
      </w:r>
      <w:r w:rsidR="008579A7" w:rsidRPr="008579A7">
        <w:rPr>
          <w:rFonts w:ascii="Book Antiqua" w:hAnsi="Book Antiqua"/>
          <w:b/>
        </w:rPr>
        <w:t>seriózně zvážit, zda vynaložené náklady budou adekvátně vyváženy přínosy změny vyhlášky</w:t>
      </w:r>
      <w:r>
        <w:rPr>
          <w:rFonts w:ascii="Book Antiqua" w:hAnsi="Book Antiqua"/>
        </w:rPr>
        <w:t xml:space="preserve">. Z toho důvodu přijde </w:t>
      </w:r>
      <w:r w:rsidR="001B7CF1">
        <w:rPr>
          <w:rFonts w:ascii="Book Antiqua" w:hAnsi="Book Antiqua"/>
        </w:rPr>
        <w:t xml:space="preserve">Komoře </w:t>
      </w:r>
      <w:r>
        <w:rPr>
          <w:rFonts w:ascii="Book Antiqua" w:hAnsi="Book Antiqua"/>
        </w:rPr>
        <w:t xml:space="preserve">změna takového počtu šablon jako předčasná (k tomu viz níže), neboť některé šablony jsou v praxi málo využívané (unifikace není ekonomicky efektivní), jiné </w:t>
      </w:r>
      <w:r w:rsidR="003315F8">
        <w:rPr>
          <w:rFonts w:ascii="Book Antiqua" w:hAnsi="Book Antiqua"/>
        </w:rPr>
        <w:t xml:space="preserve">jsou </w:t>
      </w:r>
      <w:r w:rsidR="001B7CF1">
        <w:rPr>
          <w:rFonts w:ascii="Book Antiqua" w:hAnsi="Book Antiqua"/>
        </w:rPr>
        <w:t>zase</w:t>
      </w:r>
      <w:r>
        <w:rPr>
          <w:rFonts w:ascii="Book Antiqua" w:hAnsi="Book Antiqua"/>
        </w:rPr>
        <w:t xml:space="preserve"> natolik využívané, že je potřeba skutečně precizního vzoru, </w:t>
      </w:r>
      <w:r w:rsidR="003315F8">
        <w:rPr>
          <w:rFonts w:ascii="Book Antiqua" w:hAnsi="Book Antiqua"/>
        </w:rPr>
        <w:t>máme-li na paměti fakt, ž</w:t>
      </w:r>
      <w:r w:rsidR="001B7CF1">
        <w:rPr>
          <w:rFonts w:ascii="Book Antiqua" w:hAnsi="Book Antiqua"/>
        </w:rPr>
        <w:t xml:space="preserve">e </w:t>
      </w:r>
      <w:r w:rsidR="003315F8">
        <w:rPr>
          <w:rFonts w:ascii="Book Antiqua" w:hAnsi="Book Antiqua"/>
        </w:rPr>
        <w:t xml:space="preserve">má být </w:t>
      </w:r>
      <w:r>
        <w:rPr>
          <w:rFonts w:ascii="Book Antiqua" w:hAnsi="Book Antiqua"/>
        </w:rPr>
        <w:t>upraven ve vyhlášce</w:t>
      </w:r>
      <w:r w:rsidR="001B7CF1">
        <w:rPr>
          <w:rFonts w:ascii="Book Antiqua" w:hAnsi="Book Antiqua"/>
        </w:rPr>
        <w:t xml:space="preserve"> a </w:t>
      </w:r>
      <w:r>
        <w:rPr>
          <w:rFonts w:ascii="Book Antiqua" w:hAnsi="Book Antiqua"/>
        </w:rPr>
        <w:t xml:space="preserve">proces změny vyhlášky není dostatečně pružný. </w:t>
      </w:r>
    </w:p>
    <w:p w:rsidR="009666B6" w:rsidRPr="00E739CE" w:rsidRDefault="009666B6" w:rsidP="00E739CE">
      <w:pPr>
        <w:rPr>
          <w:rFonts w:ascii="Book Antiqua" w:hAnsi="Book Antiqua"/>
        </w:rPr>
      </w:pPr>
    </w:p>
    <w:p w:rsidR="0041209E" w:rsidRPr="003D1F4B" w:rsidRDefault="003D1F4B" w:rsidP="003D1F4B">
      <w:pPr>
        <w:pStyle w:val="Odstavecseseznamem"/>
        <w:numPr>
          <w:ilvl w:val="0"/>
          <w:numId w:val="29"/>
        </w:numPr>
        <w:rPr>
          <w:rFonts w:ascii="Book Antiqua" w:hAnsi="Book Antiqua"/>
          <w:u w:val="single"/>
        </w:rPr>
      </w:pPr>
      <w:r>
        <w:rPr>
          <w:rFonts w:ascii="Book Antiqua" w:hAnsi="Book Antiqua"/>
          <w:u w:val="single"/>
        </w:rPr>
        <w:t>k</w:t>
      </w:r>
      <w:r w:rsidR="0041209E" w:rsidRPr="003D1F4B">
        <w:rPr>
          <w:rFonts w:ascii="Book Antiqua" w:hAnsi="Book Antiqua"/>
          <w:u w:val="single"/>
        </w:rPr>
        <w:t> </w:t>
      </w:r>
      <w:r w:rsidR="00BC139A">
        <w:rPr>
          <w:rFonts w:ascii="Book Antiqua" w:hAnsi="Book Antiqua"/>
          <w:u w:val="single"/>
        </w:rPr>
        <w:t>nutnosti</w:t>
      </w:r>
      <w:r>
        <w:rPr>
          <w:rFonts w:ascii="Book Antiqua" w:hAnsi="Book Antiqua"/>
          <w:u w:val="single"/>
        </w:rPr>
        <w:t xml:space="preserve"> </w:t>
      </w:r>
      <w:r w:rsidR="0041209E" w:rsidRPr="003D1F4B">
        <w:rPr>
          <w:rFonts w:ascii="Book Antiqua" w:hAnsi="Book Antiqua"/>
          <w:u w:val="single"/>
        </w:rPr>
        <w:t xml:space="preserve">formalizace </w:t>
      </w:r>
      <w:r w:rsidR="006970A6" w:rsidRPr="003D1F4B">
        <w:rPr>
          <w:rFonts w:ascii="Book Antiqua" w:hAnsi="Book Antiqua"/>
          <w:u w:val="single"/>
        </w:rPr>
        <w:t xml:space="preserve">zavedení </w:t>
      </w:r>
      <w:r w:rsidR="0041209E" w:rsidRPr="003D1F4B">
        <w:rPr>
          <w:rFonts w:ascii="Book Antiqua" w:hAnsi="Book Antiqua"/>
          <w:u w:val="single"/>
        </w:rPr>
        <w:t>vzorů</w:t>
      </w:r>
    </w:p>
    <w:p w:rsidR="0041209E" w:rsidRDefault="0041209E" w:rsidP="008457C6">
      <w:pPr>
        <w:rPr>
          <w:rFonts w:ascii="Book Antiqua" w:hAnsi="Book Antiqua"/>
        </w:rPr>
      </w:pPr>
      <w:r>
        <w:rPr>
          <w:rFonts w:ascii="Book Antiqua" w:hAnsi="Book Antiqua"/>
        </w:rPr>
        <w:t xml:space="preserve">S ohledem na to, že stanovené vzory, jejichž cílem má být unifikace, jsou toliko doporučovány (s ohledem na chybějící zmocnění, to ani jinak nejde), se Komoře zdá jejich normování ve vyhlášce pro tuto chvíli jako předčasné. </w:t>
      </w:r>
    </w:p>
    <w:p w:rsidR="00D000C7" w:rsidRDefault="0041209E" w:rsidP="008457C6">
      <w:pPr>
        <w:rPr>
          <w:rFonts w:ascii="Book Antiqua" w:hAnsi="Book Antiqua"/>
        </w:rPr>
      </w:pPr>
      <w:r>
        <w:rPr>
          <w:rFonts w:ascii="Book Antiqua" w:hAnsi="Book Antiqua"/>
        </w:rPr>
        <w:t xml:space="preserve">Téhož by bylo možno dosáhnout neformálně – poskytnutím vzorů s doporučením, jejich zveřejněním na webu atp. Takový postup by měl tu výhodu, že v případě potřeby změny vzorů, ke které </w:t>
      </w:r>
      <w:r w:rsidRPr="0041209E">
        <w:rPr>
          <w:rFonts w:ascii="Book Antiqua" w:hAnsi="Book Antiqua"/>
          <w:u w:val="single"/>
        </w:rPr>
        <w:t>v každém případě</w:t>
      </w:r>
      <w:r>
        <w:rPr>
          <w:rFonts w:ascii="Book Antiqua" w:hAnsi="Book Antiqua"/>
        </w:rPr>
        <w:t xml:space="preserve"> dojde po nějaké době od zaužívaní, by nebylo nutné měnit vyhlášku. Jinými slovy – </w:t>
      </w:r>
      <w:r w:rsidRPr="0041209E">
        <w:rPr>
          <w:rFonts w:ascii="Book Antiqua" w:hAnsi="Book Antiqua"/>
          <w:b/>
        </w:rPr>
        <w:t>jeví se jako vhodnější vzory vyzkoušet v praxi a až poté případně (po revizi) je normovat</w:t>
      </w:r>
      <w:r>
        <w:rPr>
          <w:rFonts w:ascii="Book Antiqua" w:hAnsi="Book Antiqua"/>
        </w:rPr>
        <w:t xml:space="preserve">. </w:t>
      </w:r>
    </w:p>
    <w:p w:rsidR="001B7CF1" w:rsidRDefault="0041209E" w:rsidP="00C05CA1">
      <w:pPr>
        <w:rPr>
          <w:rFonts w:ascii="Book Antiqua" w:hAnsi="Book Antiqua"/>
        </w:rPr>
      </w:pPr>
      <w:r>
        <w:rPr>
          <w:rFonts w:ascii="Book Antiqua" w:hAnsi="Book Antiqua"/>
        </w:rPr>
        <w:t>Tato připomínka však není zásadní.</w:t>
      </w:r>
    </w:p>
    <w:p w:rsidR="003D1F4B" w:rsidRDefault="003D1F4B" w:rsidP="00C05CA1">
      <w:pPr>
        <w:rPr>
          <w:rFonts w:ascii="Book Antiqua" w:hAnsi="Book Antiqua"/>
        </w:rPr>
      </w:pPr>
    </w:p>
    <w:p w:rsidR="00C05CA1" w:rsidRPr="00B41E77" w:rsidRDefault="003D1F4B" w:rsidP="003D1F4B">
      <w:pPr>
        <w:pStyle w:val="Odstavecseseznamem"/>
        <w:numPr>
          <w:ilvl w:val="0"/>
          <w:numId w:val="29"/>
        </w:numPr>
        <w:rPr>
          <w:rFonts w:ascii="Book Antiqua" w:hAnsi="Book Antiqua"/>
          <w:u w:val="single"/>
        </w:rPr>
      </w:pPr>
      <w:r>
        <w:rPr>
          <w:rFonts w:ascii="Book Antiqua" w:hAnsi="Book Antiqua"/>
          <w:u w:val="single"/>
        </w:rPr>
        <w:t>k</w:t>
      </w:r>
      <w:r w:rsidR="00D000C7" w:rsidRPr="00B41E77">
        <w:rPr>
          <w:rFonts w:ascii="Book Antiqua" w:hAnsi="Book Antiqua"/>
          <w:u w:val="single"/>
        </w:rPr>
        <w:t xml:space="preserve"> souladu</w:t>
      </w:r>
      <w:r>
        <w:rPr>
          <w:rFonts w:ascii="Book Antiqua" w:hAnsi="Book Antiqua"/>
          <w:u w:val="single"/>
        </w:rPr>
        <w:t xml:space="preserve"> s</w:t>
      </w:r>
      <w:r w:rsidR="00C05CA1" w:rsidRPr="00B41E77">
        <w:rPr>
          <w:rFonts w:ascii="Book Antiqua" w:hAnsi="Book Antiqua"/>
          <w:u w:val="single"/>
        </w:rPr>
        <w:t xml:space="preserve"> </w:t>
      </w:r>
      <w:r w:rsidR="00900F90" w:rsidRPr="00B41E77">
        <w:rPr>
          <w:rFonts w:ascii="Book Antiqua" w:hAnsi="Book Antiqua"/>
          <w:u w:val="single"/>
        </w:rPr>
        <w:t>návrhem směrnice</w:t>
      </w:r>
      <w:r w:rsidR="00C05CA1" w:rsidRPr="00B41E77">
        <w:rPr>
          <w:rFonts w:ascii="Book Antiqua" w:hAnsi="Book Antiqua"/>
          <w:u w:val="single"/>
        </w:rPr>
        <w:t xml:space="preserve"> Ministerstva spravedlnosti o soudních písemnostech</w:t>
      </w:r>
    </w:p>
    <w:p w:rsidR="00C05CA1" w:rsidRPr="00B76941" w:rsidRDefault="00C05CA1">
      <w:pPr>
        <w:rPr>
          <w:rFonts w:ascii="Book Antiqua" w:hAnsi="Book Antiqua"/>
        </w:rPr>
      </w:pPr>
      <w:r>
        <w:rPr>
          <w:rFonts w:ascii="Book Antiqua" w:hAnsi="Book Antiqua"/>
        </w:rPr>
        <w:t>Písemnosti soudních</w:t>
      </w:r>
      <w:r w:rsidR="00B76941">
        <w:rPr>
          <w:rFonts w:ascii="Book Antiqua" w:hAnsi="Book Antiqua"/>
        </w:rPr>
        <w:t xml:space="preserve"> exekutorů by měly v obecné rovině splňovat předpoklady, které jsou kladeny na písemnosti soudní. Tedy i přiměřené použití </w:t>
      </w:r>
      <w:r w:rsidR="00D000C7">
        <w:rPr>
          <w:rFonts w:ascii="Book Antiqua" w:hAnsi="Book Antiqua"/>
        </w:rPr>
        <w:t xml:space="preserve">designované nové </w:t>
      </w:r>
      <w:r w:rsidR="00B76941" w:rsidRPr="00B76941">
        <w:rPr>
          <w:rFonts w:ascii="Book Antiqua" w:hAnsi="Book Antiqua"/>
        </w:rPr>
        <w:t>směrnice Ministerstva spravedlnosti o soudních písemnostech</w:t>
      </w:r>
      <w:r w:rsidR="00B76941">
        <w:rPr>
          <w:rFonts w:ascii="Book Antiqua" w:hAnsi="Book Antiqua"/>
        </w:rPr>
        <w:t>, je na místě.</w:t>
      </w:r>
    </w:p>
    <w:p w:rsidR="00B76941" w:rsidRDefault="00B76941">
      <w:pPr>
        <w:rPr>
          <w:rFonts w:ascii="Book Antiqua" w:hAnsi="Book Antiqua"/>
        </w:rPr>
      </w:pPr>
    </w:p>
    <w:p w:rsidR="00B76941" w:rsidRDefault="00B76941">
      <w:pPr>
        <w:rPr>
          <w:rFonts w:ascii="Book Antiqua" w:hAnsi="Book Antiqua"/>
        </w:rPr>
      </w:pPr>
      <w:r>
        <w:rPr>
          <w:rFonts w:ascii="Book Antiqua" w:hAnsi="Book Antiqua"/>
        </w:rPr>
        <w:t>Novela vyhlášky v zásadě zasahuje dva okruhy exekutorských písemností:</w:t>
      </w:r>
    </w:p>
    <w:p w:rsidR="00B76941" w:rsidRDefault="00B76941" w:rsidP="00B76941">
      <w:pPr>
        <w:pStyle w:val="Odstavecseseznamem"/>
        <w:numPr>
          <w:ilvl w:val="0"/>
          <w:numId w:val="9"/>
        </w:numPr>
        <w:rPr>
          <w:rFonts w:ascii="Book Antiqua" w:hAnsi="Book Antiqua"/>
        </w:rPr>
      </w:pPr>
      <w:r>
        <w:rPr>
          <w:rFonts w:ascii="Book Antiqua" w:hAnsi="Book Antiqua"/>
        </w:rPr>
        <w:t xml:space="preserve">rozhodnutí – exekuční příkazy </w:t>
      </w:r>
      <w:r w:rsidR="002631F9">
        <w:rPr>
          <w:rFonts w:ascii="Book Antiqua" w:hAnsi="Book Antiqua"/>
        </w:rPr>
        <w:t xml:space="preserve">(dále též jen“EP“) </w:t>
      </w:r>
      <w:r>
        <w:rPr>
          <w:rFonts w:ascii="Book Antiqua" w:hAnsi="Book Antiqua"/>
        </w:rPr>
        <w:t>a příkaz k úhradě nákladů exekuce</w:t>
      </w:r>
      <w:r w:rsidR="002631F9">
        <w:rPr>
          <w:rFonts w:ascii="Book Antiqua" w:hAnsi="Book Antiqua"/>
        </w:rPr>
        <w:t xml:space="preserve"> (dále též jen“ PÚNE“)</w:t>
      </w:r>
    </w:p>
    <w:p w:rsidR="00B76941" w:rsidRDefault="00B76941" w:rsidP="00B76941">
      <w:pPr>
        <w:pStyle w:val="Odstavecseseznamem"/>
        <w:numPr>
          <w:ilvl w:val="0"/>
          <w:numId w:val="9"/>
        </w:numPr>
        <w:rPr>
          <w:rFonts w:ascii="Book Antiqua" w:hAnsi="Book Antiqua"/>
        </w:rPr>
      </w:pPr>
      <w:r>
        <w:rPr>
          <w:rFonts w:ascii="Book Antiqua" w:hAnsi="Book Antiqua"/>
        </w:rPr>
        <w:t>ostatní – Vyrozumění o zahájení exekuce</w:t>
      </w:r>
      <w:r w:rsidR="002631F9">
        <w:rPr>
          <w:rFonts w:ascii="Book Antiqua" w:hAnsi="Book Antiqua"/>
        </w:rPr>
        <w:t xml:space="preserve"> (dále též jen „VYZE“)</w:t>
      </w:r>
      <w:r>
        <w:rPr>
          <w:rFonts w:ascii="Book Antiqua" w:hAnsi="Book Antiqua"/>
        </w:rPr>
        <w:t>, Výzva k dobrovolnému splnění vymáhané povinnosti</w:t>
      </w:r>
    </w:p>
    <w:p w:rsidR="00D000C7" w:rsidRPr="00B76941" w:rsidRDefault="00D000C7" w:rsidP="00D000C7">
      <w:pPr>
        <w:pStyle w:val="Odstavecseseznamem"/>
        <w:rPr>
          <w:rFonts w:ascii="Book Antiqua" w:hAnsi="Book Antiqua"/>
        </w:rPr>
      </w:pPr>
    </w:p>
    <w:p w:rsidR="00AA34EA" w:rsidRDefault="00B76941" w:rsidP="00C05CA1">
      <w:pPr>
        <w:rPr>
          <w:rFonts w:ascii="Book Antiqua" w:hAnsi="Book Antiqua"/>
        </w:rPr>
      </w:pPr>
      <w:r>
        <w:rPr>
          <w:rFonts w:ascii="Book Antiqua" w:hAnsi="Book Antiqua"/>
        </w:rPr>
        <w:t>Předkládané vzory rozhodnutí vykazují tyto odchylky od směrnice:</w:t>
      </w:r>
    </w:p>
    <w:p w:rsidR="008457C6" w:rsidRPr="00AA34EA" w:rsidRDefault="008457C6" w:rsidP="00C05CA1">
      <w:pPr>
        <w:rPr>
          <w:rFonts w:ascii="Book Antiqua" w:hAnsi="Book Antiqua"/>
        </w:rPr>
      </w:pPr>
    </w:p>
    <w:p w:rsidR="00AA34EA" w:rsidRDefault="00AA34EA" w:rsidP="00AA34EA">
      <w:pPr>
        <w:pStyle w:val="Odstavecseseznamem"/>
        <w:numPr>
          <w:ilvl w:val="0"/>
          <w:numId w:val="8"/>
        </w:numPr>
        <w:rPr>
          <w:rFonts w:ascii="Book Antiqua" w:hAnsi="Book Antiqua"/>
        </w:rPr>
      </w:pPr>
      <w:r w:rsidRPr="00AA34EA">
        <w:rPr>
          <w:rFonts w:ascii="Book Antiqua" w:hAnsi="Book Antiqua"/>
        </w:rPr>
        <w:t>některé vzory exekučních příkazů obsahují text ve dvou fontech (Garamond a Times New Roman)</w:t>
      </w:r>
    </w:p>
    <w:p w:rsidR="00AA34EA" w:rsidRPr="00AA34EA" w:rsidRDefault="00AA34EA" w:rsidP="00AA34EA">
      <w:pPr>
        <w:pStyle w:val="Odstavecseseznamem"/>
        <w:ind w:left="405"/>
        <w:rPr>
          <w:rFonts w:ascii="Book Antiqua" w:hAnsi="Book Antiqua"/>
        </w:rPr>
      </w:pPr>
    </w:p>
    <w:p w:rsidR="00AA34EA" w:rsidRDefault="00AA34EA" w:rsidP="00AA34EA">
      <w:pPr>
        <w:pStyle w:val="Odstavecseseznamem"/>
        <w:numPr>
          <w:ilvl w:val="0"/>
          <w:numId w:val="8"/>
        </w:numPr>
        <w:rPr>
          <w:rFonts w:ascii="Book Antiqua" w:hAnsi="Book Antiqua"/>
        </w:rPr>
      </w:pPr>
      <w:r>
        <w:rPr>
          <w:rFonts w:ascii="Book Antiqua" w:hAnsi="Book Antiqua"/>
        </w:rPr>
        <w:t xml:space="preserve">podle § 9 odst. 2 směrnice se </w:t>
      </w:r>
      <w:r w:rsidRPr="00AA34EA">
        <w:rPr>
          <w:rFonts w:ascii="Book Antiqua" w:hAnsi="Book Antiqua"/>
        </w:rPr>
        <w:t xml:space="preserve">tučné písmo nebo tučná kurzíva </w:t>
      </w:r>
      <w:r>
        <w:rPr>
          <w:rFonts w:ascii="Book Antiqua" w:hAnsi="Book Antiqua"/>
        </w:rPr>
        <w:t xml:space="preserve">užívá </w:t>
      </w:r>
      <w:r w:rsidRPr="00AA34EA">
        <w:rPr>
          <w:rFonts w:ascii="Book Antiqua" w:hAnsi="Book Antiqua"/>
          <w:b/>
        </w:rPr>
        <w:t>pro velmi důležité</w:t>
      </w:r>
      <w:r w:rsidRPr="00AA34EA">
        <w:rPr>
          <w:rFonts w:ascii="Book Antiqua" w:hAnsi="Book Antiqua"/>
        </w:rPr>
        <w:t xml:space="preserve"> </w:t>
      </w:r>
      <w:r w:rsidRPr="00AA34EA">
        <w:rPr>
          <w:rFonts w:ascii="Book Antiqua" w:hAnsi="Book Antiqua"/>
          <w:b/>
        </w:rPr>
        <w:t>krátké úseky</w:t>
      </w:r>
      <w:r w:rsidRPr="00AA34EA">
        <w:rPr>
          <w:rFonts w:ascii="Book Antiqua" w:hAnsi="Book Antiqua"/>
        </w:rPr>
        <w:t xml:space="preserve"> textu.</w:t>
      </w:r>
      <w:r>
        <w:rPr>
          <w:rFonts w:ascii="Book Antiqua" w:hAnsi="Book Antiqua"/>
        </w:rPr>
        <w:t xml:space="preserve"> Prakticky všechny výroky exekučních příkazů jsou </w:t>
      </w:r>
      <w:r w:rsidRPr="00900F90">
        <w:rPr>
          <w:rFonts w:ascii="Book Antiqua" w:hAnsi="Book Antiqua"/>
          <w:b/>
        </w:rPr>
        <w:t xml:space="preserve">celé </w:t>
      </w:r>
      <w:r>
        <w:rPr>
          <w:rFonts w:ascii="Book Antiqua" w:hAnsi="Book Antiqua"/>
        </w:rPr>
        <w:t>tučným písmem</w:t>
      </w:r>
      <w:r w:rsidR="008457C6">
        <w:rPr>
          <w:rFonts w:ascii="Book Antiqua" w:hAnsi="Book Antiqua"/>
        </w:rPr>
        <w:t xml:space="preserve">, stejně tak </w:t>
      </w:r>
      <w:r w:rsidR="008457C6" w:rsidRPr="008457C6">
        <w:rPr>
          <w:rFonts w:ascii="Book Antiqua" w:hAnsi="Book Antiqua"/>
        </w:rPr>
        <w:t>část Výzvy nad tabulkou, „výrok“ Výzvy a navazující Poučení</w:t>
      </w:r>
      <w:r>
        <w:rPr>
          <w:rFonts w:ascii="Book Antiqua" w:hAnsi="Book Antiqua"/>
        </w:rPr>
        <w:t xml:space="preserve"> – tyto úseky textu jsou sice důležité (nicméně některé výroky pouze některé účastníky – např. některé jsou důležité jen pro povinné, jiné pro poddlužníky atp.), ale určitě ve svém celku </w:t>
      </w:r>
      <w:r w:rsidRPr="00900F90">
        <w:rPr>
          <w:rFonts w:ascii="Book Antiqua" w:hAnsi="Book Antiqua"/>
          <w:b/>
        </w:rPr>
        <w:t>nejsou krátké</w:t>
      </w:r>
      <w:r>
        <w:rPr>
          <w:rFonts w:ascii="Book Antiqua" w:hAnsi="Book Antiqua"/>
        </w:rPr>
        <w:t>, což vede k </w:t>
      </w:r>
      <w:r w:rsidRPr="00D000C7">
        <w:rPr>
          <w:rFonts w:ascii="Book Antiqua" w:hAnsi="Book Antiqua"/>
          <w:u w:val="single"/>
        </w:rPr>
        <w:t xml:space="preserve">nepřehlednosti rozhodnutí, což je </w:t>
      </w:r>
      <w:r w:rsidR="00D000C7">
        <w:rPr>
          <w:rFonts w:ascii="Book Antiqua" w:hAnsi="Book Antiqua"/>
          <w:u w:val="single"/>
        </w:rPr>
        <w:t xml:space="preserve">i </w:t>
      </w:r>
      <w:r w:rsidRPr="00D000C7">
        <w:rPr>
          <w:rFonts w:ascii="Book Antiqua" w:hAnsi="Book Antiqua"/>
          <w:u w:val="single"/>
        </w:rPr>
        <w:t>v rozporu s cílem novely</w:t>
      </w:r>
      <w:r>
        <w:rPr>
          <w:rFonts w:ascii="Book Antiqua" w:hAnsi="Book Antiqua"/>
        </w:rPr>
        <w:t xml:space="preserve">. </w:t>
      </w:r>
      <w:r w:rsidR="002631F9" w:rsidRPr="00E623CC">
        <w:rPr>
          <w:rFonts w:ascii="Book Antiqua" w:hAnsi="Book Antiqua"/>
        </w:rPr>
        <w:t xml:space="preserve">Označení rozsáhlých textových celků vedou k tomu, že jejich čtenář ztrácí </w:t>
      </w:r>
      <w:r w:rsidR="002631F9" w:rsidRPr="002E2B97">
        <w:rPr>
          <w:rFonts w:ascii="Book Antiqua" w:hAnsi="Book Antiqua"/>
        </w:rPr>
        <w:t xml:space="preserve">ponětí o tom, co je </w:t>
      </w:r>
      <w:r w:rsidR="002E2B97" w:rsidRPr="002E2B97">
        <w:rPr>
          <w:rFonts w:ascii="Book Antiqua" w:hAnsi="Book Antiqua"/>
        </w:rPr>
        <w:t>důležitější, nebo</w:t>
      </w:r>
      <w:r w:rsidR="002631F9" w:rsidRPr="002E2B97">
        <w:rPr>
          <w:rFonts w:ascii="Book Antiqua" w:hAnsi="Book Antiqua"/>
        </w:rPr>
        <w:t xml:space="preserve"> co je nositelem informace a co je nositelem příkazu či zákazu.</w:t>
      </w:r>
      <w:r w:rsidR="002631F9" w:rsidRPr="00E623CC">
        <w:rPr>
          <w:rFonts w:ascii="Book Antiqua" w:hAnsi="Book Antiqua"/>
        </w:rPr>
        <w:t xml:space="preserve"> Nadto je nutné si povšimnout, že zvýrazněny tučným písmem jsou zásadně práva účastníků</w:t>
      </w:r>
      <w:r w:rsidR="002631F9">
        <w:rPr>
          <w:rFonts w:ascii="Book Antiqua" w:hAnsi="Book Antiqua"/>
        </w:rPr>
        <w:t xml:space="preserve">, zatímco povinnosti nikoli. To vyvolává dojem, že povinnosti jsou až na druhém místě a podporuje domněnku, že dluhy se platit nemusí.  </w:t>
      </w:r>
    </w:p>
    <w:p w:rsidR="00CA5196" w:rsidRPr="00CA5196" w:rsidRDefault="00CA5196" w:rsidP="00CA5196">
      <w:pPr>
        <w:pStyle w:val="Odstavecseseznamem"/>
        <w:rPr>
          <w:rFonts w:ascii="Book Antiqua" w:hAnsi="Book Antiqua"/>
        </w:rPr>
      </w:pPr>
    </w:p>
    <w:p w:rsidR="00CA5196" w:rsidRPr="00CA5196" w:rsidRDefault="00CA5196" w:rsidP="00AA34EA">
      <w:pPr>
        <w:pStyle w:val="Odstavecseseznamem"/>
        <w:numPr>
          <w:ilvl w:val="0"/>
          <w:numId w:val="8"/>
        </w:numPr>
        <w:rPr>
          <w:rFonts w:ascii="Book Antiqua" w:hAnsi="Book Antiqua"/>
          <w:u w:val="single"/>
        </w:rPr>
      </w:pPr>
      <w:r>
        <w:rPr>
          <w:rFonts w:ascii="Book Antiqua" w:hAnsi="Book Antiqua"/>
        </w:rPr>
        <w:t>podle § 21 směrnice z</w:t>
      </w:r>
      <w:r w:rsidRPr="00CA5196">
        <w:rPr>
          <w:rFonts w:ascii="Book Antiqua" w:hAnsi="Book Antiqua"/>
        </w:rPr>
        <w:t>áhlaví rozhodnutí obsahuje výhradně údaje požadované příslušným procesním předpisem</w:t>
      </w:r>
      <w:r>
        <w:rPr>
          <w:rFonts w:ascii="Book Antiqua" w:hAnsi="Book Antiqua"/>
        </w:rPr>
        <w:t xml:space="preserve"> (</w:t>
      </w:r>
      <w:r w:rsidRPr="00CA5196">
        <w:rPr>
          <w:rFonts w:ascii="Book Antiqua" w:hAnsi="Book Antiqua"/>
        </w:rPr>
        <w:t xml:space="preserve">v podobě </w:t>
      </w:r>
      <w:r w:rsidRPr="00CA5196">
        <w:rPr>
          <w:rFonts w:ascii="Book Antiqua" w:hAnsi="Book Antiqua"/>
          <w:u w:val="single"/>
        </w:rPr>
        <w:t>strukturované</w:t>
      </w:r>
      <w:r w:rsidRPr="00CA5196">
        <w:rPr>
          <w:rFonts w:ascii="Book Antiqua" w:hAnsi="Book Antiqua"/>
        </w:rPr>
        <w:t xml:space="preserve"> tabulky</w:t>
      </w:r>
      <w:r>
        <w:rPr>
          <w:rFonts w:ascii="Book Antiqua" w:hAnsi="Book Antiqua"/>
        </w:rPr>
        <w:t xml:space="preserve">). </w:t>
      </w:r>
      <w:r w:rsidRPr="00CA5196">
        <w:rPr>
          <w:rFonts w:ascii="Book Antiqua" w:hAnsi="Book Antiqua"/>
          <w:u w:val="single"/>
        </w:rPr>
        <w:t>Prakticky všechny exekuční příkazy obsahují v</w:t>
      </w:r>
      <w:r>
        <w:rPr>
          <w:rFonts w:ascii="Book Antiqua" w:hAnsi="Book Antiqua"/>
          <w:u w:val="single"/>
        </w:rPr>
        <w:t xml:space="preserve"> záhlaví </w:t>
      </w:r>
      <w:r w:rsidRPr="00CA5196">
        <w:rPr>
          <w:rFonts w:ascii="Book Antiqua" w:hAnsi="Book Antiqua"/>
        </w:rPr>
        <w:t>(lze-li to nazvat)</w:t>
      </w:r>
      <w:r w:rsidRPr="00CA5196">
        <w:rPr>
          <w:rFonts w:ascii="Book Antiqua" w:hAnsi="Book Antiqua"/>
          <w:u w:val="single"/>
        </w:rPr>
        <w:t> údaje, které nejsou požadovány žádným procesním předpisem</w:t>
      </w:r>
      <w:r>
        <w:rPr>
          <w:rFonts w:ascii="Book Antiqua" w:hAnsi="Book Antiqua"/>
          <w:u w:val="single"/>
        </w:rPr>
        <w:t xml:space="preserve">. </w:t>
      </w:r>
      <w:r w:rsidRPr="00CA5196">
        <w:rPr>
          <w:rFonts w:ascii="Book Antiqua" w:hAnsi="Book Antiqua"/>
        </w:rPr>
        <w:t xml:space="preserve">Navíc </w:t>
      </w:r>
      <w:r>
        <w:rPr>
          <w:rFonts w:ascii="Book Antiqua" w:hAnsi="Book Antiqua"/>
        </w:rPr>
        <w:t xml:space="preserve">jsou některé tyto údaje zvýrazněny, což je v rozporu s § 21 odst. 4 směrnice. </w:t>
      </w:r>
    </w:p>
    <w:p w:rsidR="00CA5196" w:rsidRDefault="00CA5196" w:rsidP="008457C6">
      <w:pPr>
        <w:pStyle w:val="slovantext"/>
        <w:numPr>
          <w:ilvl w:val="0"/>
          <w:numId w:val="8"/>
        </w:numPr>
        <w:rPr>
          <w:rFonts w:ascii="Book Antiqua" w:hAnsi="Book Antiqua"/>
          <w:szCs w:val="22"/>
        </w:rPr>
      </w:pPr>
      <w:r w:rsidRPr="00CA5196">
        <w:rPr>
          <w:rFonts w:ascii="Book Antiqua" w:hAnsi="Book Antiqua"/>
          <w:szCs w:val="22"/>
        </w:rPr>
        <w:t xml:space="preserve">nadpisy jednotlivých částí </w:t>
      </w:r>
      <w:r>
        <w:rPr>
          <w:rFonts w:ascii="Book Antiqua" w:hAnsi="Book Antiqua"/>
          <w:szCs w:val="22"/>
        </w:rPr>
        <w:t xml:space="preserve">rozhodnutí </w:t>
      </w:r>
      <w:r w:rsidRPr="00CA5196">
        <w:rPr>
          <w:rFonts w:ascii="Book Antiqua" w:hAnsi="Book Antiqua"/>
          <w:szCs w:val="22"/>
        </w:rPr>
        <w:t>nejsou v souladu s § 25 odst. 6 ve spojení s § 26 směrnice</w:t>
      </w:r>
    </w:p>
    <w:p w:rsidR="00900F90" w:rsidRPr="008457C6" w:rsidRDefault="00900F90" w:rsidP="008457C6">
      <w:pPr>
        <w:pStyle w:val="slovantext"/>
        <w:numPr>
          <w:ilvl w:val="0"/>
          <w:numId w:val="8"/>
        </w:numPr>
        <w:rPr>
          <w:rFonts w:ascii="Book Antiqua" w:hAnsi="Book Antiqua"/>
          <w:szCs w:val="22"/>
        </w:rPr>
      </w:pPr>
      <w:r w:rsidRPr="00900F90">
        <w:rPr>
          <w:rFonts w:ascii="Book Antiqua" w:hAnsi="Book Antiqua"/>
          <w:szCs w:val="22"/>
        </w:rPr>
        <w:t>chybí číslování stran</w:t>
      </w:r>
      <w:r>
        <w:rPr>
          <w:rFonts w:ascii="Book Antiqua" w:hAnsi="Book Antiqua"/>
          <w:szCs w:val="22"/>
        </w:rPr>
        <w:t xml:space="preserve"> (§ 11 odst. 3 směrnice)</w:t>
      </w:r>
    </w:p>
    <w:p w:rsidR="00B76941" w:rsidRDefault="00B76941" w:rsidP="00C05CA1"/>
    <w:p w:rsidR="00B41E77" w:rsidRPr="00B41E77" w:rsidRDefault="00B41E77" w:rsidP="00B41E77">
      <w:pPr>
        <w:pStyle w:val="Odstavecseseznamem"/>
        <w:numPr>
          <w:ilvl w:val="0"/>
          <w:numId w:val="1"/>
        </w:numPr>
        <w:rPr>
          <w:rFonts w:ascii="Book Antiqua" w:hAnsi="Book Antiqua"/>
          <w:b/>
          <w:u w:val="single"/>
        </w:rPr>
      </w:pPr>
      <w:r w:rsidRPr="00B41E77">
        <w:rPr>
          <w:rFonts w:ascii="Book Antiqua" w:hAnsi="Book Antiqua"/>
          <w:b/>
          <w:u w:val="single"/>
        </w:rPr>
        <w:t>Konkrétní připomínky</w:t>
      </w:r>
      <w:r w:rsidR="009176C7">
        <w:rPr>
          <w:rFonts w:ascii="Book Antiqua" w:hAnsi="Book Antiqua"/>
          <w:b/>
          <w:u w:val="single"/>
        </w:rPr>
        <w:t xml:space="preserve"> </w:t>
      </w:r>
      <w:r w:rsidR="009176C7" w:rsidRPr="009176C7">
        <w:rPr>
          <w:rFonts w:ascii="Book Antiqua" w:hAnsi="Book Antiqua"/>
        </w:rPr>
        <w:t>(nad rámec obecných připomínek)</w:t>
      </w:r>
    </w:p>
    <w:p w:rsidR="00C05CA1" w:rsidRDefault="00C05CA1" w:rsidP="00C05CA1"/>
    <w:p w:rsidR="009A34EC" w:rsidRPr="00A71B07" w:rsidRDefault="009A34EC" w:rsidP="009A34EC">
      <w:pPr>
        <w:pStyle w:val="Odstavecseseznamem"/>
        <w:numPr>
          <w:ilvl w:val="0"/>
          <w:numId w:val="13"/>
        </w:numPr>
        <w:rPr>
          <w:rFonts w:ascii="Book Antiqua" w:hAnsi="Book Antiqua"/>
          <w:u w:val="single"/>
        </w:rPr>
      </w:pPr>
      <w:r w:rsidRPr="00A71B07">
        <w:rPr>
          <w:rFonts w:ascii="Book Antiqua" w:hAnsi="Book Antiqua"/>
          <w:u w:val="single"/>
        </w:rPr>
        <w:t>Úvod</w:t>
      </w:r>
    </w:p>
    <w:p w:rsidR="009A34EC" w:rsidRPr="009A34EC" w:rsidRDefault="009A34EC" w:rsidP="009A34EC">
      <w:pPr>
        <w:pStyle w:val="Odstavecseseznamem"/>
        <w:ind w:left="1080"/>
        <w:rPr>
          <w:rFonts w:ascii="Book Antiqua" w:hAnsi="Book Antiqua"/>
        </w:rPr>
      </w:pPr>
    </w:p>
    <w:p w:rsidR="00FC1ABD" w:rsidRDefault="009A34EC" w:rsidP="00FC1ABD">
      <w:pPr>
        <w:rPr>
          <w:rFonts w:ascii="Book Antiqua" w:hAnsi="Book Antiqua"/>
        </w:rPr>
      </w:pPr>
      <w:r>
        <w:rPr>
          <w:rFonts w:ascii="Book Antiqua" w:hAnsi="Book Antiqua"/>
        </w:rPr>
        <w:t>E</w:t>
      </w:r>
      <w:r w:rsidRPr="009A34EC">
        <w:rPr>
          <w:rFonts w:ascii="Book Antiqua" w:hAnsi="Book Antiqua"/>
        </w:rPr>
        <w:t xml:space="preserve">xekuční příkazy a příkaz k úhradě nákladů exekuce (na rozdíl od Výzvy a VYZE, kde je volnější režim) musí mít, stejně jako usnesení o nařízení výkonu rozhodnutí, formu „soudního rozhodnutí“; není žádný důvod činit nějaké zásadnější rozdíly mezi rozhodnutími v rámci výkonu rozhodnutí a provádění exekuce. </w:t>
      </w:r>
      <w:r w:rsidR="001D55D6" w:rsidRPr="009A34EC">
        <w:rPr>
          <w:rFonts w:ascii="Book Antiqua" w:hAnsi="Book Antiqua"/>
        </w:rPr>
        <w:t xml:space="preserve">Z těchto důvodu trváme na tom, aby </w:t>
      </w:r>
      <w:r w:rsidRPr="009A34EC">
        <w:rPr>
          <w:rFonts w:ascii="Book Antiqua" w:hAnsi="Book Antiqua"/>
        </w:rPr>
        <w:t>rozhodnutí exekutora měla soudní (úřední) vzezření a nevypadala jako technický dokument a obsahovala</w:t>
      </w:r>
      <w:r w:rsidR="001D55D6" w:rsidRPr="009A34EC">
        <w:rPr>
          <w:rFonts w:ascii="Book Antiqua" w:hAnsi="Book Antiqua"/>
        </w:rPr>
        <w:t xml:space="preserve"> klasické „návětí“ </w:t>
      </w:r>
      <w:r>
        <w:rPr>
          <w:rFonts w:ascii="Book Antiqua" w:hAnsi="Book Antiqua"/>
        </w:rPr>
        <w:t>(záhlaví), na které jsou účastníci řízení zvyklí z nalézacího řízení a orientace v něm nečiní zásadních problémů.</w:t>
      </w:r>
    </w:p>
    <w:p w:rsidR="00FC1ABD" w:rsidRDefault="00FC1ABD" w:rsidP="00FC1ABD">
      <w:pPr>
        <w:rPr>
          <w:rFonts w:ascii="Book Antiqua" w:hAnsi="Book Antiqua"/>
        </w:rPr>
      </w:pPr>
      <w:r w:rsidRPr="00FC1ABD">
        <w:rPr>
          <w:rFonts w:ascii="Book Antiqua" w:hAnsi="Book Antiqua"/>
        </w:rPr>
        <w:t xml:space="preserve">Pro zvýšení informovanosti adresátů by bylo </w:t>
      </w:r>
      <w:r>
        <w:rPr>
          <w:rFonts w:ascii="Book Antiqua" w:hAnsi="Book Antiqua"/>
        </w:rPr>
        <w:t xml:space="preserve">v písemnostech </w:t>
      </w:r>
      <w:r w:rsidRPr="00FC1ABD">
        <w:rPr>
          <w:rFonts w:ascii="Book Antiqua" w:hAnsi="Book Antiqua"/>
        </w:rPr>
        <w:t>účinnější dát přednost informacím specifickým pro</w:t>
      </w:r>
      <w:r>
        <w:t xml:space="preserve"> </w:t>
      </w:r>
      <w:r w:rsidRPr="00FC1ABD">
        <w:rPr>
          <w:rFonts w:ascii="Book Antiqua" w:hAnsi="Book Antiqua"/>
          <w:b/>
        </w:rPr>
        <w:t>daný</w:t>
      </w:r>
      <w:r w:rsidRPr="00FC1ABD">
        <w:rPr>
          <w:rFonts w:ascii="Book Antiqua" w:hAnsi="Book Antiqua"/>
        </w:rPr>
        <w:t xml:space="preserve"> způsob provedení exekuce před informacemi obecnými, s nimiž se povinný mohl seznámit už v rámci poučení k</w:t>
      </w:r>
      <w:r>
        <w:rPr>
          <w:rFonts w:ascii="Book Antiqua" w:hAnsi="Book Antiqua"/>
        </w:rPr>
        <w:t> VYZE. I</w:t>
      </w:r>
      <w:r w:rsidRPr="00FC1ABD">
        <w:rPr>
          <w:rFonts w:ascii="Book Antiqua" w:hAnsi="Book Antiqua"/>
        </w:rPr>
        <w:t>nformace o odkladu a zastavení exekuce je namístě uvádět až poté, co se adresáti seznámí s důležitými informacemi, které se týkají se daného způsobu provedení exekuce (tj. uvádět informace k zastavení e</w:t>
      </w:r>
      <w:r>
        <w:rPr>
          <w:rFonts w:ascii="Book Antiqua" w:hAnsi="Book Antiqua"/>
        </w:rPr>
        <w:t>xekuce až jako 3. nebo 4. bod).</w:t>
      </w:r>
    </w:p>
    <w:p w:rsidR="00FC1ABD" w:rsidRDefault="00FC1ABD" w:rsidP="009A34EC">
      <w:pPr>
        <w:rPr>
          <w:rFonts w:ascii="Book Antiqua" w:hAnsi="Book Antiqua"/>
        </w:rPr>
      </w:pPr>
      <w:r w:rsidRPr="00FC1ABD">
        <w:rPr>
          <w:rFonts w:ascii="Book Antiqua" w:hAnsi="Book Antiqua"/>
        </w:rPr>
        <w:t xml:space="preserve">Způsob stavby textu vypovídá o tom, že je ze všech adresátů </w:t>
      </w:r>
      <w:r w:rsidRPr="00FC1ABD">
        <w:rPr>
          <w:rFonts w:ascii="Book Antiqua" w:hAnsi="Book Antiqua"/>
          <w:b/>
        </w:rPr>
        <w:t>jednoznačně preferován povinný</w:t>
      </w:r>
      <w:r w:rsidRPr="00FC1ABD">
        <w:rPr>
          <w:rFonts w:ascii="Book Antiqua" w:hAnsi="Book Antiqua"/>
        </w:rPr>
        <w:t>, jakkoliv např. v případě exekučního příkazu na mzdu vyplývá plátci mzdy mnohem více povinností nežli povinnému a jejich neplnění může mít do sféry plátce mzdy zásadní dopady; nelze automaticky předpokládat, že je každý zaměstnavatel v porovnání s prům</w:t>
      </w:r>
      <w:r>
        <w:rPr>
          <w:rFonts w:ascii="Book Antiqua" w:hAnsi="Book Antiqua"/>
        </w:rPr>
        <w:t xml:space="preserve">ěrným povinným více znalý práva. </w:t>
      </w:r>
    </w:p>
    <w:p w:rsidR="00FC1ABD" w:rsidRDefault="00FC1ABD" w:rsidP="009A34EC">
      <w:pPr>
        <w:rPr>
          <w:rFonts w:ascii="Book Antiqua" w:hAnsi="Book Antiqua"/>
        </w:rPr>
      </w:pPr>
    </w:p>
    <w:p w:rsidR="009A34EC" w:rsidRDefault="009A34EC" w:rsidP="009A34EC">
      <w:pPr>
        <w:rPr>
          <w:rFonts w:ascii="Book Antiqua" w:hAnsi="Book Antiqua"/>
        </w:rPr>
      </w:pPr>
      <w:r>
        <w:rPr>
          <w:rFonts w:ascii="Book Antiqua" w:hAnsi="Book Antiqua"/>
        </w:rPr>
        <w:t xml:space="preserve">V hlavičce dokumentů považujeme za vhodné, </w:t>
      </w:r>
      <w:r w:rsidRPr="009A34EC">
        <w:rPr>
          <w:rFonts w:ascii="Book Antiqua" w:hAnsi="Book Antiqua"/>
        </w:rPr>
        <w:t xml:space="preserve">aby na začátku (hlavička) byla uvedena tučně nejprve </w:t>
      </w:r>
      <w:r w:rsidRPr="003C330E">
        <w:rPr>
          <w:rFonts w:ascii="Book Antiqua" w:hAnsi="Book Antiqua"/>
          <w:b/>
        </w:rPr>
        <w:t>osoba soudního exekutora</w:t>
      </w:r>
      <w:r w:rsidRPr="009A34EC">
        <w:rPr>
          <w:rFonts w:ascii="Book Antiqua" w:hAnsi="Book Antiqua"/>
        </w:rPr>
        <w:t xml:space="preserve"> a nikoli exeku</w:t>
      </w:r>
      <w:r w:rsidR="003C330E">
        <w:rPr>
          <w:rFonts w:ascii="Book Antiqua" w:hAnsi="Book Antiqua"/>
        </w:rPr>
        <w:t xml:space="preserve">torský </w:t>
      </w:r>
      <w:r w:rsidRPr="009A34EC">
        <w:rPr>
          <w:rFonts w:ascii="Book Antiqua" w:hAnsi="Book Antiqua"/>
        </w:rPr>
        <w:t>úřad, neboť soudní exekutor je pověřen vedením exekuce</w:t>
      </w:r>
      <w:r w:rsidR="00916D5E">
        <w:rPr>
          <w:rFonts w:ascii="Book Antiqua" w:hAnsi="Book Antiqua"/>
        </w:rPr>
        <w:t xml:space="preserve"> (</w:t>
      </w:r>
      <w:r w:rsidR="00916D5E" w:rsidRPr="00916D5E">
        <w:rPr>
          <w:rFonts w:ascii="Book Antiqua" w:hAnsi="Book Antiqua"/>
          <w:i/>
        </w:rPr>
        <w:t>exekutorský úřad je non</w:t>
      </w:r>
      <w:r w:rsidR="00916D5E">
        <w:rPr>
          <w:rFonts w:ascii="Book Antiqua" w:hAnsi="Book Antiqua"/>
          <w:i/>
        </w:rPr>
        <w:t>-</w:t>
      </w:r>
      <w:r w:rsidR="00916D5E" w:rsidRPr="00916D5E">
        <w:rPr>
          <w:rFonts w:ascii="Book Antiqua" w:hAnsi="Book Antiqua"/>
          <w:i/>
        </w:rPr>
        <w:t>subjekt</w:t>
      </w:r>
      <w:r w:rsidR="00916D5E">
        <w:rPr>
          <w:rFonts w:ascii="Book Antiqua" w:hAnsi="Book Antiqua"/>
        </w:rPr>
        <w:t>)</w:t>
      </w:r>
      <w:r>
        <w:rPr>
          <w:rFonts w:ascii="Book Antiqua" w:hAnsi="Book Antiqua"/>
        </w:rPr>
        <w:t>, tj. aby hlavička vypadal</w:t>
      </w:r>
      <w:r w:rsidR="003C330E">
        <w:rPr>
          <w:rFonts w:ascii="Book Antiqua" w:hAnsi="Book Antiqua"/>
        </w:rPr>
        <w:t>a</w:t>
      </w:r>
      <w:r>
        <w:rPr>
          <w:rFonts w:ascii="Book Antiqua" w:hAnsi="Book Antiqua"/>
        </w:rPr>
        <w:t xml:space="preserve"> např.:</w:t>
      </w:r>
    </w:p>
    <w:p w:rsidR="009A34EC" w:rsidRDefault="009A34EC" w:rsidP="009A34EC">
      <w:pPr>
        <w:rPr>
          <w:rFonts w:ascii="Book Antiqua" w:hAnsi="Book Antiqua"/>
        </w:rPr>
      </w:pPr>
    </w:p>
    <w:p w:rsidR="009A34EC" w:rsidRPr="00DB5582" w:rsidRDefault="009A34EC" w:rsidP="009A34EC">
      <w:pPr>
        <w:rPr>
          <w:rFonts w:cs="Calibri Light"/>
          <w:b/>
          <w:szCs w:val="24"/>
        </w:rPr>
      </w:pPr>
      <w:r w:rsidRPr="00B04A91">
        <w:rPr>
          <w:rFonts w:cs="Calibri Light"/>
          <w:b/>
          <w:smallCaps/>
          <w:szCs w:val="24"/>
        </w:rPr>
        <w:t>Soudní exekutor</w:t>
      </w:r>
      <w:r w:rsidRPr="00DB5582">
        <w:rPr>
          <w:rFonts w:cs="Calibri Light"/>
          <w:b/>
          <w:szCs w:val="24"/>
        </w:rPr>
        <w:t xml:space="preserve"> </w:t>
      </w:r>
      <w:r w:rsidRPr="00DB5582">
        <w:rPr>
          <w:rFonts w:cs="Calibri Light"/>
          <w:b/>
          <w:szCs w:val="24"/>
          <w:highlight w:val="lightGray"/>
        </w:rPr>
        <w:t>…………</w:t>
      </w:r>
    </w:p>
    <w:p w:rsidR="009A34EC" w:rsidRPr="00DB5582" w:rsidRDefault="009A34EC" w:rsidP="009A34EC">
      <w:pPr>
        <w:rPr>
          <w:rFonts w:cs="Calibri Light"/>
          <w:b/>
          <w:szCs w:val="24"/>
        </w:rPr>
      </w:pPr>
      <w:r w:rsidRPr="00DB5582">
        <w:rPr>
          <w:rFonts w:cs="Calibri Light"/>
          <w:szCs w:val="24"/>
        </w:rPr>
        <w:t>Exekutorský úřad</w:t>
      </w:r>
      <w:r w:rsidRPr="00DB5582">
        <w:rPr>
          <w:rFonts w:cs="Calibri Light"/>
          <w:b/>
          <w:szCs w:val="24"/>
        </w:rPr>
        <w:t xml:space="preserve"> </w:t>
      </w:r>
      <w:r>
        <w:rPr>
          <w:rFonts w:cs="Calibri Light"/>
          <w:b/>
          <w:szCs w:val="24"/>
          <w:highlight w:val="lightGray"/>
        </w:rPr>
        <w:t>………………</w:t>
      </w:r>
      <w:r w:rsidRPr="00DB5582">
        <w:rPr>
          <w:rFonts w:cs="Calibri Light"/>
          <w:b/>
          <w:szCs w:val="24"/>
        </w:rPr>
        <w:tab/>
      </w:r>
      <w:r w:rsidRPr="00DB5582">
        <w:rPr>
          <w:rFonts w:cs="Calibri Light"/>
          <w:b/>
          <w:szCs w:val="24"/>
        </w:rPr>
        <w:tab/>
      </w:r>
      <w:r w:rsidRPr="00DB5582">
        <w:rPr>
          <w:rFonts w:cs="Calibri Light"/>
          <w:b/>
          <w:szCs w:val="24"/>
        </w:rPr>
        <w:tab/>
      </w:r>
      <w:r w:rsidRPr="00DB5582">
        <w:rPr>
          <w:rFonts w:cs="Calibri Light"/>
          <w:szCs w:val="24"/>
        </w:rPr>
        <w:t xml:space="preserve">adresa: </w:t>
      </w:r>
      <w:r w:rsidRPr="00DB5582">
        <w:rPr>
          <w:rFonts w:cs="Calibri Light"/>
          <w:b/>
          <w:szCs w:val="24"/>
          <w:highlight w:val="lightGray"/>
        </w:rPr>
        <w:t>………</w:t>
      </w:r>
    </w:p>
    <w:p w:rsidR="009A34EC" w:rsidRPr="00DB5582" w:rsidRDefault="009A34EC" w:rsidP="009A34EC">
      <w:pPr>
        <w:rPr>
          <w:rFonts w:cs="Calibri Light"/>
          <w:szCs w:val="24"/>
        </w:rPr>
      </w:pPr>
      <w:r w:rsidRPr="005E3B78">
        <w:rPr>
          <w:rFonts w:cs="Calibri Light"/>
          <w:szCs w:val="24"/>
          <w:highlight w:val="yellow"/>
        </w:rPr>
        <w:t>tel.:</w:t>
      </w:r>
      <w:r w:rsidRPr="005E3B78">
        <w:rPr>
          <w:rFonts w:cs="Calibri Light"/>
          <w:b/>
          <w:szCs w:val="24"/>
          <w:highlight w:val="yellow"/>
        </w:rPr>
        <w:t xml:space="preserve"> </w:t>
      </w:r>
      <w:r w:rsidRPr="00DB5582">
        <w:rPr>
          <w:rFonts w:cs="Calibri Light"/>
          <w:b/>
          <w:szCs w:val="24"/>
          <w:highlight w:val="lightGray"/>
        </w:rPr>
        <w:t>…………</w:t>
      </w:r>
      <w:r>
        <w:rPr>
          <w:rFonts w:cs="Calibri Light"/>
          <w:b/>
          <w:szCs w:val="24"/>
        </w:rPr>
        <w:tab/>
      </w:r>
      <w:r>
        <w:rPr>
          <w:rFonts w:cs="Calibri Light"/>
          <w:b/>
          <w:szCs w:val="24"/>
        </w:rPr>
        <w:tab/>
      </w:r>
      <w:r>
        <w:rPr>
          <w:rFonts w:cs="Calibri Light"/>
          <w:b/>
          <w:szCs w:val="24"/>
        </w:rPr>
        <w:tab/>
      </w:r>
      <w:r>
        <w:rPr>
          <w:rFonts w:cs="Calibri Light"/>
          <w:b/>
          <w:szCs w:val="24"/>
        </w:rPr>
        <w:tab/>
      </w:r>
      <w:r>
        <w:rPr>
          <w:rFonts w:cs="Calibri Light"/>
          <w:b/>
          <w:szCs w:val="24"/>
        </w:rPr>
        <w:tab/>
      </w:r>
      <w:r>
        <w:rPr>
          <w:rFonts w:cs="Calibri Light"/>
          <w:b/>
          <w:szCs w:val="24"/>
        </w:rPr>
        <w:tab/>
      </w:r>
      <w:r w:rsidRPr="00DB5582">
        <w:rPr>
          <w:rFonts w:cs="Calibri Light"/>
          <w:szCs w:val="24"/>
        </w:rPr>
        <w:t>ID datové schránky:</w:t>
      </w:r>
      <w:r w:rsidRPr="00DB5582">
        <w:rPr>
          <w:rFonts w:cs="Calibri Light"/>
          <w:b/>
          <w:szCs w:val="24"/>
        </w:rPr>
        <w:t xml:space="preserve"> </w:t>
      </w:r>
      <w:r w:rsidRPr="00DB5582">
        <w:rPr>
          <w:rFonts w:cs="Calibri Light"/>
          <w:b/>
          <w:szCs w:val="24"/>
          <w:highlight w:val="lightGray"/>
        </w:rPr>
        <w:t>…………</w:t>
      </w:r>
    </w:p>
    <w:p w:rsidR="009A34EC" w:rsidRPr="00DB5582" w:rsidRDefault="009A34EC" w:rsidP="009A34EC">
      <w:pPr>
        <w:rPr>
          <w:rFonts w:cs="Calibri Light"/>
          <w:b/>
          <w:szCs w:val="24"/>
        </w:rPr>
      </w:pPr>
      <w:r w:rsidRPr="005E3B78">
        <w:rPr>
          <w:rFonts w:cs="Calibri Light"/>
          <w:szCs w:val="24"/>
          <w:highlight w:val="yellow"/>
        </w:rPr>
        <w:t>e-mail</w:t>
      </w:r>
      <w:r w:rsidRPr="00DB5582">
        <w:rPr>
          <w:rFonts w:cs="Calibri Light"/>
          <w:szCs w:val="24"/>
        </w:rPr>
        <w:t>:</w:t>
      </w:r>
      <w:r w:rsidRPr="00DB5582">
        <w:rPr>
          <w:rFonts w:cs="Calibri Light"/>
          <w:b/>
          <w:szCs w:val="24"/>
        </w:rPr>
        <w:t xml:space="preserve"> </w:t>
      </w:r>
      <w:r w:rsidRPr="00DB5582">
        <w:rPr>
          <w:rFonts w:cs="Calibri Light"/>
          <w:b/>
          <w:szCs w:val="24"/>
          <w:highlight w:val="lightGray"/>
        </w:rPr>
        <w:t>…………</w:t>
      </w:r>
      <w:r>
        <w:rPr>
          <w:rFonts w:cs="Calibri Light"/>
          <w:szCs w:val="24"/>
        </w:rPr>
        <w:t xml:space="preserve"> </w:t>
      </w:r>
      <w:r>
        <w:rPr>
          <w:rFonts w:cs="Calibri Light"/>
          <w:szCs w:val="24"/>
        </w:rPr>
        <w:tab/>
      </w:r>
      <w:r>
        <w:rPr>
          <w:rFonts w:cs="Calibri Light"/>
          <w:szCs w:val="24"/>
        </w:rPr>
        <w:tab/>
      </w:r>
      <w:r>
        <w:rPr>
          <w:rFonts w:cs="Calibri Light"/>
          <w:szCs w:val="24"/>
        </w:rPr>
        <w:tab/>
      </w:r>
      <w:r>
        <w:rPr>
          <w:rFonts w:cs="Calibri Light"/>
          <w:szCs w:val="24"/>
        </w:rPr>
        <w:tab/>
      </w:r>
      <w:r>
        <w:rPr>
          <w:rFonts w:cs="Calibri Light"/>
          <w:szCs w:val="24"/>
        </w:rPr>
        <w:tab/>
      </w:r>
      <w:r w:rsidRPr="00DB5582">
        <w:rPr>
          <w:rFonts w:cs="Calibri Light"/>
          <w:szCs w:val="24"/>
        </w:rPr>
        <w:t xml:space="preserve">web. stránky: </w:t>
      </w:r>
      <w:r w:rsidRPr="00DB5582">
        <w:rPr>
          <w:rFonts w:cs="Calibri Light"/>
          <w:b/>
          <w:szCs w:val="24"/>
          <w:highlight w:val="lightGray"/>
        </w:rPr>
        <w:t>…………</w:t>
      </w:r>
      <w:r w:rsidRPr="00DB5582">
        <w:rPr>
          <w:rFonts w:cs="Calibri Light"/>
          <w:b/>
          <w:szCs w:val="24"/>
        </w:rPr>
        <w:tab/>
      </w:r>
      <w:r w:rsidRPr="00DB5582">
        <w:rPr>
          <w:rFonts w:cs="Calibri Light"/>
          <w:b/>
          <w:szCs w:val="24"/>
        </w:rPr>
        <w:tab/>
      </w:r>
    </w:p>
    <w:p w:rsidR="009A34EC" w:rsidRDefault="009A34EC" w:rsidP="009A34EC">
      <w:pPr>
        <w:rPr>
          <w:rFonts w:ascii="Book Antiqua" w:hAnsi="Book Antiqua"/>
        </w:rPr>
      </w:pPr>
    </w:p>
    <w:p w:rsidR="005E3B78" w:rsidRDefault="005E3B78" w:rsidP="009A34EC">
      <w:pPr>
        <w:rPr>
          <w:rFonts w:ascii="Book Antiqua" w:hAnsi="Book Antiqua"/>
        </w:rPr>
      </w:pPr>
      <w:r>
        <w:rPr>
          <w:rFonts w:ascii="Book Antiqua" w:hAnsi="Book Antiqua"/>
        </w:rPr>
        <w:t xml:space="preserve">Současně nám nepřijde jako vhodné </w:t>
      </w:r>
      <w:r w:rsidRPr="005E3B78">
        <w:rPr>
          <w:rFonts w:ascii="Book Antiqua" w:hAnsi="Book Antiqua"/>
          <w:u w:val="single"/>
        </w:rPr>
        <w:t>obligatorně</w:t>
      </w:r>
      <w:r>
        <w:rPr>
          <w:rFonts w:ascii="Book Antiqua" w:hAnsi="Book Antiqua"/>
        </w:rPr>
        <w:t xml:space="preserve"> uvádět údaj o telefonním čísle a emailu do hlavičky, </w:t>
      </w:r>
      <w:r w:rsidRPr="005E3B78">
        <w:rPr>
          <w:rFonts w:ascii="Book Antiqua" w:hAnsi="Book Antiqua"/>
        </w:rPr>
        <w:t xml:space="preserve">neboť soudní exekutor není </w:t>
      </w:r>
      <w:r>
        <w:rPr>
          <w:rFonts w:ascii="Book Antiqua" w:hAnsi="Book Antiqua"/>
        </w:rPr>
        <w:t xml:space="preserve">v zásadě </w:t>
      </w:r>
      <w:r w:rsidRPr="005E3B78">
        <w:rPr>
          <w:rFonts w:ascii="Book Antiqua" w:hAnsi="Book Antiqua"/>
        </w:rPr>
        <w:t xml:space="preserve">povinen těmito </w:t>
      </w:r>
      <w:r w:rsidRPr="005E3B78">
        <w:rPr>
          <w:rFonts w:ascii="Book Antiqua" w:hAnsi="Book Antiqua"/>
          <w:i/>
        </w:rPr>
        <w:t>„kanály“</w:t>
      </w:r>
      <w:r w:rsidRPr="005E3B78">
        <w:rPr>
          <w:rFonts w:ascii="Book Antiqua" w:hAnsi="Book Antiqua"/>
        </w:rPr>
        <w:t xml:space="preserve"> komunikovat a cokoli sdělovat účastníkům. </w:t>
      </w:r>
      <w:r>
        <w:rPr>
          <w:rFonts w:ascii="Book Antiqua" w:hAnsi="Book Antiqua"/>
        </w:rPr>
        <w:t>Jako kompromisní se jeví</w:t>
      </w:r>
      <w:r w:rsidRPr="005E3B78">
        <w:rPr>
          <w:rFonts w:ascii="Book Antiqua" w:hAnsi="Book Antiqua"/>
        </w:rPr>
        <w:t xml:space="preserve"> do </w:t>
      </w:r>
      <w:r>
        <w:rPr>
          <w:rFonts w:ascii="Book Antiqua" w:hAnsi="Book Antiqua"/>
        </w:rPr>
        <w:t xml:space="preserve">části „Další informace“ </w:t>
      </w:r>
      <w:r w:rsidRPr="003C330E">
        <w:rPr>
          <w:rFonts w:ascii="Book Antiqua" w:hAnsi="Book Antiqua"/>
          <w:u w:val="single"/>
        </w:rPr>
        <w:t>fakultativně</w:t>
      </w:r>
      <w:r>
        <w:rPr>
          <w:rFonts w:ascii="Book Antiqua" w:hAnsi="Book Antiqua"/>
        </w:rPr>
        <w:t xml:space="preserve"> doplnit</w:t>
      </w:r>
      <w:r w:rsidRPr="005E3B78">
        <w:rPr>
          <w:rFonts w:ascii="Book Antiqua" w:hAnsi="Book Antiqua"/>
        </w:rPr>
        <w:t xml:space="preserve"> informaci, jak se k</w:t>
      </w:r>
      <w:r>
        <w:rPr>
          <w:rFonts w:ascii="Book Antiqua" w:hAnsi="Book Antiqua"/>
        </w:rPr>
        <w:t>omunikuje se soudním exekutorem (</w:t>
      </w:r>
      <w:r w:rsidRPr="005E3B78">
        <w:rPr>
          <w:rFonts w:ascii="Book Antiqua" w:hAnsi="Book Antiqua"/>
        </w:rPr>
        <w:t>v souladu s § 42 OSŘ</w:t>
      </w:r>
      <w:r>
        <w:rPr>
          <w:rFonts w:ascii="Book Antiqua" w:hAnsi="Book Antiqua"/>
        </w:rPr>
        <w:t xml:space="preserve"> atp.) – praxe soudních exekutorů je rozdílná (stejně jako praxe okresních soudů v tomto ohledu je rozdílná) a vzor by je v tomto případě značně omezoval. </w:t>
      </w:r>
    </w:p>
    <w:p w:rsidR="003C330E" w:rsidRDefault="00A71B07" w:rsidP="009A34EC">
      <w:pPr>
        <w:rPr>
          <w:rFonts w:ascii="Book Antiqua" w:hAnsi="Book Antiqua"/>
        </w:rPr>
      </w:pPr>
      <w:r>
        <w:rPr>
          <w:rFonts w:ascii="Book Antiqua" w:hAnsi="Book Antiqua"/>
        </w:rPr>
        <w:t>Stejně tak je vhodné ve všech k listinách přeformulovat informace o hrazení na podkladně: „</w:t>
      </w:r>
      <w:r w:rsidRPr="00084630">
        <w:rPr>
          <w:rFonts w:ascii="Book Antiqua" w:hAnsi="Book Antiqua"/>
        </w:rPr>
        <w:t xml:space="preserve">v hotovosti </w:t>
      </w:r>
      <w:r>
        <w:rPr>
          <w:rFonts w:ascii="Book Antiqua" w:hAnsi="Book Antiqua"/>
        </w:rPr>
        <w:t>v úředních hodinách na pokladně (příp. soudního exekutora)“, nikoliv exekutorského úřadu</w:t>
      </w:r>
    </w:p>
    <w:p w:rsidR="00BF09F7" w:rsidRDefault="00BF09F7" w:rsidP="009A34EC">
      <w:pPr>
        <w:rPr>
          <w:rFonts w:ascii="Book Antiqua" w:hAnsi="Book Antiqua"/>
        </w:rPr>
      </w:pPr>
      <w:r>
        <w:rPr>
          <w:rFonts w:ascii="Book Antiqua" w:hAnsi="Book Antiqua"/>
        </w:rPr>
        <w:t xml:space="preserve">Informace o vyčíslení a přírůstku (v sekci Další informace, bod 3.) by měly být, je-li to nezbytné (konkrétní výhrady viz níže), omezeny pouze na ty exekuční příkazy, které jsou užívány nejčastěji &lt;např. pouze mzda a účet! &gt; – např. na EP správou nemovitosti, postižením závodu atp. je to zcela zbytečné, neboť adresáti těchto příkazů většinou nejsou cílovou skupinou myšlených opatření (vysvětlování, </w:t>
      </w:r>
      <w:proofErr w:type="spellStart"/>
      <w:r>
        <w:rPr>
          <w:rFonts w:ascii="Book Antiqua" w:hAnsi="Book Antiqua"/>
        </w:rPr>
        <w:t>nadpoučování</w:t>
      </w:r>
      <w:proofErr w:type="spellEnd"/>
      <w:r>
        <w:rPr>
          <w:rFonts w:ascii="Book Antiqua" w:hAnsi="Book Antiqua"/>
        </w:rPr>
        <w:t>).</w:t>
      </w:r>
    </w:p>
    <w:p w:rsidR="002631F9" w:rsidRPr="002E2B97" w:rsidRDefault="002631F9" w:rsidP="002631F9">
      <w:pPr>
        <w:rPr>
          <w:rFonts w:ascii="Book Antiqua" w:hAnsi="Book Antiqua"/>
        </w:rPr>
      </w:pPr>
      <w:r w:rsidRPr="002E2B97">
        <w:rPr>
          <w:rFonts w:ascii="Book Antiqua" w:hAnsi="Book Antiqua"/>
        </w:rPr>
        <w:t xml:space="preserve">Nad výše uvedené je nutné také zmínit, že pro předložené vzory šablon je typické směšování textů poučení s výrokovými částmi, kdy poučení mnohdy předchází hlavnímu textu listiny, zejména výroku. V úředních listinách by navíc neměl být dán prostor pro vykřičníky či </w:t>
      </w:r>
      <w:r w:rsidR="002E2B97">
        <w:rPr>
          <w:rFonts w:ascii="Book Antiqua" w:hAnsi="Book Antiqua"/>
        </w:rPr>
        <w:t>piktogramy (obrazové přílohy).</w:t>
      </w:r>
    </w:p>
    <w:p w:rsidR="002631F9" w:rsidRPr="002E2B97" w:rsidRDefault="002631F9" w:rsidP="002631F9">
      <w:pPr>
        <w:rPr>
          <w:rFonts w:ascii="Book Antiqua" w:hAnsi="Book Antiqua"/>
        </w:rPr>
      </w:pPr>
      <w:r w:rsidRPr="002E2B97">
        <w:rPr>
          <w:rFonts w:ascii="Book Antiqua" w:hAnsi="Book Antiqua"/>
        </w:rPr>
        <w:t xml:space="preserve">Obvyklé není ani pro soudní listiny poučení </w:t>
      </w:r>
      <w:r w:rsidR="002E2B97" w:rsidRPr="002E2B97">
        <w:rPr>
          <w:rFonts w:ascii="Book Antiqua" w:hAnsi="Book Antiqua"/>
        </w:rPr>
        <w:t>psané</w:t>
      </w:r>
      <w:r w:rsidRPr="002E2B97">
        <w:rPr>
          <w:rFonts w:ascii="Book Antiqua" w:hAnsi="Book Antiqua"/>
        </w:rPr>
        <w:t xml:space="preserve"> v pátém pádě, byť je fakultativní.</w:t>
      </w:r>
    </w:p>
    <w:p w:rsidR="002631F9" w:rsidRDefault="002631F9" w:rsidP="002E2B97">
      <w:pPr>
        <w:rPr>
          <w:rFonts w:ascii="Book Antiqua" w:hAnsi="Book Antiqua"/>
        </w:rPr>
      </w:pPr>
      <w:r w:rsidRPr="002E2B97">
        <w:rPr>
          <w:rFonts w:ascii="Book Antiqua" w:hAnsi="Book Antiqua"/>
        </w:rPr>
        <w:t xml:space="preserve">K rozsahu poučení ve VYZE a EP je pak na místě poznamenat, že pokud chceme účastníka řízení poučovat o jeho právech, </w:t>
      </w:r>
      <w:r w:rsidR="002E2B97" w:rsidRPr="002E2B97">
        <w:rPr>
          <w:rFonts w:ascii="Book Antiqua" w:hAnsi="Book Antiqua"/>
        </w:rPr>
        <w:t>předpokládáme</w:t>
      </w:r>
      <w:r w:rsidRPr="002E2B97">
        <w:rPr>
          <w:rFonts w:ascii="Book Antiqua" w:hAnsi="Book Antiqua"/>
        </w:rPr>
        <w:t xml:space="preserve">, že si listinu převezme.  Poučení společné pro celou exekuci by měla obsahovat jen VYZE. EP by pak měl obsahovat jen taková poučení, která soud poskytuje ve výkonu rozhodnutí podle toho kterého způsobu provedení exekuce. Zkušenosti nám velí, že nepřebírá-li si </w:t>
      </w:r>
      <w:r w:rsidR="002E2B97" w:rsidRPr="002E2B97">
        <w:rPr>
          <w:rFonts w:ascii="Book Antiqua" w:hAnsi="Book Antiqua"/>
        </w:rPr>
        <w:t>účastník</w:t>
      </w:r>
      <w:r w:rsidRPr="002E2B97">
        <w:rPr>
          <w:rFonts w:ascii="Book Antiqua" w:hAnsi="Book Antiqua"/>
        </w:rPr>
        <w:t xml:space="preserve"> řízení listiny od počátku, je malá pravděpodobnost, že si je začne přebírat později. Proto potřeba dublování poučení v každé další listině nemá oporu ve faktickém dopadu do materiálního seznámení se účastníka s tímto poučením.</w:t>
      </w:r>
    </w:p>
    <w:p w:rsidR="00FE396A" w:rsidRDefault="00FE396A" w:rsidP="009A34EC">
      <w:pPr>
        <w:rPr>
          <w:rFonts w:ascii="Book Antiqua" w:hAnsi="Book Antiqua"/>
        </w:rPr>
      </w:pPr>
      <w:r>
        <w:rPr>
          <w:rFonts w:ascii="Book Antiqua" w:hAnsi="Book Antiqua"/>
        </w:rPr>
        <w:t xml:space="preserve">Absentuje vzor EP k provedení exekuce obnovením předešlého stavu (§ 351a OSŘ). </w:t>
      </w:r>
    </w:p>
    <w:p w:rsidR="00BF09F7" w:rsidRDefault="00BF09F7" w:rsidP="009A34EC">
      <w:pPr>
        <w:rPr>
          <w:rFonts w:ascii="Book Antiqua" w:hAnsi="Book Antiqua"/>
        </w:rPr>
      </w:pPr>
    </w:p>
    <w:p w:rsidR="009A34EC" w:rsidRPr="00A71B07" w:rsidRDefault="009A34EC" w:rsidP="009A34EC">
      <w:pPr>
        <w:pStyle w:val="Odstavecseseznamem"/>
        <w:numPr>
          <w:ilvl w:val="0"/>
          <w:numId w:val="13"/>
        </w:numPr>
        <w:rPr>
          <w:rFonts w:ascii="Book Antiqua" w:hAnsi="Book Antiqua"/>
          <w:u w:val="single"/>
        </w:rPr>
      </w:pPr>
      <w:r w:rsidRPr="00A71B07">
        <w:rPr>
          <w:rFonts w:ascii="Book Antiqua" w:hAnsi="Book Antiqua"/>
          <w:u w:val="single"/>
        </w:rPr>
        <w:t xml:space="preserve">Ke vzoru </w:t>
      </w:r>
      <w:r w:rsidR="003C330E" w:rsidRPr="00A71B07">
        <w:rPr>
          <w:rFonts w:ascii="Book Antiqua" w:hAnsi="Book Antiqua"/>
          <w:u w:val="single"/>
        </w:rPr>
        <w:t>VYZE</w:t>
      </w:r>
    </w:p>
    <w:p w:rsidR="00916D5E" w:rsidRDefault="00916D5E" w:rsidP="00916D5E">
      <w:pPr>
        <w:pStyle w:val="Odstavecseseznamem"/>
        <w:ind w:left="1080"/>
        <w:rPr>
          <w:rFonts w:ascii="Book Antiqua" w:hAnsi="Book Antiqua"/>
        </w:rPr>
      </w:pPr>
    </w:p>
    <w:p w:rsidR="00916D5E" w:rsidRDefault="00916D5E" w:rsidP="00916D5E">
      <w:pPr>
        <w:pStyle w:val="Odstavecseseznamem"/>
        <w:numPr>
          <w:ilvl w:val="0"/>
          <w:numId w:val="8"/>
        </w:numPr>
        <w:rPr>
          <w:rFonts w:ascii="Book Antiqua" w:hAnsi="Book Antiqua"/>
        </w:rPr>
      </w:pPr>
      <w:r>
        <w:rPr>
          <w:rFonts w:ascii="Book Antiqua" w:hAnsi="Book Antiqua"/>
        </w:rPr>
        <w:t>údaj o právním zastoupení (u POV i OPR) by měl být v záhlaví v druhém a nikoliv prvním sloupci, který pouze identifikuje údaj uvedený v řádku</w:t>
      </w:r>
    </w:p>
    <w:p w:rsidR="00916D5E" w:rsidRDefault="00916D5E" w:rsidP="00916D5E">
      <w:pPr>
        <w:pStyle w:val="Odstavecseseznamem"/>
        <w:ind w:left="405"/>
        <w:rPr>
          <w:rFonts w:ascii="Book Antiqua" w:hAnsi="Book Antiqua"/>
        </w:rPr>
      </w:pPr>
    </w:p>
    <w:p w:rsidR="00916D5E" w:rsidRDefault="00916D5E" w:rsidP="00916D5E">
      <w:pPr>
        <w:pStyle w:val="Odstavecseseznamem"/>
        <w:numPr>
          <w:ilvl w:val="0"/>
          <w:numId w:val="8"/>
        </w:numPr>
        <w:rPr>
          <w:rFonts w:ascii="Book Antiqua" w:hAnsi="Book Antiqua"/>
        </w:rPr>
      </w:pPr>
      <w:r>
        <w:rPr>
          <w:rFonts w:ascii="Book Antiqua" w:hAnsi="Book Antiqua"/>
        </w:rPr>
        <w:t xml:space="preserve">bylo by vhodné soud vydávající pověření výslovně označit jako exekuční soud </w:t>
      </w:r>
    </w:p>
    <w:p w:rsidR="00916D5E" w:rsidRPr="00916D5E" w:rsidRDefault="00916D5E" w:rsidP="00916D5E">
      <w:pPr>
        <w:pStyle w:val="Odstavecseseznamem"/>
        <w:rPr>
          <w:rFonts w:ascii="Book Antiqua" w:hAnsi="Book Antiqua"/>
        </w:rPr>
      </w:pPr>
    </w:p>
    <w:p w:rsidR="00916D5E" w:rsidRDefault="00916D5E" w:rsidP="00916D5E">
      <w:pPr>
        <w:pStyle w:val="Odstavecseseznamem"/>
        <w:numPr>
          <w:ilvl w:val="0"/>
          <w:numId w:val="8"/>
        </w:numPr>
        <w:rPr>
          <w:rFonts w:ascii="Book Antiqua" w:hAnsi="Book Antiqua"/>
        </w:rPr>
      </w:pPr>
      <w:r>
        <w:rPr>
          <w:rFonts w:ascii="Book Antiqua" w:hAnsi="Book Antiqua"/>
        </w:rPr>
        <w:t xml:space="preserve">řádek ze záhlaví „Zjištění předchozí věřitelé“ je třeba vypustit; není úkolem exekutora dopátrávat řadu předchozích věřitelů – první věřitel je vždy patrný z exekučního titulu, </w:t>
      </w:r>
      <w:r w:rsidRPr="00916D5E">
        <w:rPr>
          <w:rFonts w:ascii="Book Antiqua" w:hAnsi="Book Antiqua"/>
          <w:u w:val="single"/>
        </w:rPr>
        <w:t>jehož kopie se POV doručuje</w:t>
      </w:r>
      <w:r>
        <w:rPr>
          <w:rFonts w:ascii="Book Antiqua" w:hAnsi="Book Antiqua"/>
        </w:rPr>
        <w:t xml:space="preserve">. </w:t>
      </w:r>
    </w:p>
    <w:p w:rsidR="00916D5E" w:rsidRDefault="00916D5E" w:rsidP="00916D5E">
      <w:pPr>
        <w:pStyle w:val="Odstavecseseznamem"/>
        <w:ind w:left="405"/>
        <w:rPr>
          <w:rFonts w:ascii="Book Antiqua" w:hAnsi="Book Antiqua"/>
        </w:rPr>
      </w:pPr>
    </w:p>
    <w:p w:rsidR="00B25792" w:rsidRPr="00B25792" w:rsidRDefault="00B25792" w:rsidP="00B25792">
      <w:pPr>
        <w:pStyle w:val="Odstavecseseznamem"/>
        <w:numPr>
          <w:ilvl w:val="0"/>
          <w:numId w:val="8"/>
        </w:numPr>
        <w:rPr>
          <w:b/>
          <w:szCs w:val="24"/>
        </w:rPr>
      </w:pPr>
      <w:r w:rsidRPr="00B25792">
        <w:rPr>
          <w:rFonts w:ascii="Book Antiqua" w:hAnsi="Book Antiqua"/>
        </w:rPr>
        <w:t>s</w:t>
      </w:r>
      <w:r>
        <w:rPr>
          <w:rFonts w:ascii="Book Antiqua" w:hAnsi="Book Antiqua"/>
        </w:rPr>
        <w:t>ekci</w:t>
      </w:r>
      <w:r w:rsidRPr="00B25792">
        <w:rPr>
          <w:rFonts w:ascii="Book Antiqua" w:hAnsi="Book Antiqua"/>
        </w:rPr>
        <w:t xml:space="preserve"> </w:t>
      </w:r>
      <w:r>
        <w:rPr>
          <w:rFonts w:ascii="Book Antiqua" w:hAnsi="Book Antiqua"/>
        </w:rPr>
        <w:t>„</w:t>
      </w:r>
      <w:r w:rsidRPr="00B25792">
        <w:rPr>
          <w:rFonts w:ascii="Book Antiqua" w:hAnsi="Book Antiqua"/>
          <w:i/>
        </w:rPr>
        <w:t>Vybraná ustanovení právních předpisů</w:t>
      </w:r>
      <w:r>
        <w:rPr>
          <w:rFonts w:ascii="Book Antiqua" w:hAnsi="Book Antiqua"/>
        </w:rPr>
        <w:t xml:space="preserve">“ navrhujeme pro nadbytečnost vypustit; tato sekce pro povinné nad rámec poučení nepřináší ničeho nového. </w:t>
      </w:r>
    </w:p>
    <w:p w:rsidR="00B25792" w:rsidRPr="00B25792" w:rsidRDefault="00B25792" w:rsidP="00B25792">
      <w:pPr>
        <w:pStyle w:val="Odstavecseseznamem"/>
        <w:rPr>
          <w:b/>
          <w:szCs w:val="24"/>
        </w:rPr>
      </w:pPr>
    </w:p>
    <w:p w:rsidR="003C330E" w:rsidRDefault="008C70B3" w:rsidP="008C70B3">
      <w:pPr>
        <w:pStyle w:val="Odstavecseseznamem"/>
        <w:numPr>
          <w:ilvl w:val="0"/>
          <w:numId w:val="8"/>
        </w:numPr>
        <w:rPr>
          <w:rFonts w:ascii="Book Antiqua" w:hAnsi="Book Antiqua"/>
        </w:rPr>
      </w:pPr>
      <w:r w:rsidRPr="008C70B3">
        <w:rPr>
          <w:rFonts w:ascii="Book Antiqua" w:hAnsi="Book Antiqua"/>
        </w:rPr>
        <w:t>v sekci Základní informace</w:t>
      </w:r>
      <w:r>
        <w:rPr>
          <w:rFonts w:ascii="Book Antiqua" w:hAnsi="Book Antiqua"/>
        </w:rPr>
        <w:t xml:space="preserve"> navrhujeme do bodu 2. doplnit, že vyčíslení ve výzvy je platné ke dni vydání a je třeba uhradit dobrovolně i částku, která přirostla v mezidobí; v bodě 3. (prodej MV) navrhujeme vypustit pasáž týkající se návrhu na vyškrtnutí a zastavení – ta je vhodná spíše do EP – MV, nikoliv do VYZE, kde je předčasná</w:t>
      </w:r>
    </w:p>
    <w:p w:rsidR="009176C7" w:rsidRPr="009176C7" w:rsidRDefault="009176C7" w:rsidP="009176C7">
      <w:pPr>
        <w:rPr>
          <w:rFonts w:ascii="Book Antiqua" w:hAnsi="Book Antiqua"/>
        </w:rPr>
      </w:pPr>
    </w:p>
    <w:p w:rsidR="009A34EC" w:rsidRPr="00A71B07" w:rsidRDefault="009A34EC" w:rsidP="009A34EC">
      <w:pPr>
        <w:pStyle w:val="Odstavecseseznamem"/>
        <w:numPr>
          <w:ilvl w:val="0"/>
          <w:numId w:val="13"/>
        </w:numPr>
        <w:rPr>
          <w:rFonts w:ascii="Book Antiqua" w:hAnsi="Book Antiqua"/>
          <w:u w:val="single"/>
        </w:rPr>
      </w:pPr>
      <w:r w:rsidRPr="00A71B07">
        <w:rPr>
          <w:rFonts w:ascii="Book Antiqua" w:hAnsi="Book Antiqua"/>
          <w:u w:val="single"/>
        </w:rPr>
        <w:t xml:space="preserve">Ke vzoru </w:t>
      </w:r>
      <w:r w:rsidR="003C330E" w:rsidRPr="00A71B07">
        <w:rPr>
          <w:rFonts w:ascii="Book Antiqua" w:hAnsi="Book Antiqua"/>
          <w:u w:val="single"/>
        </w:rPr>
        <w:t>Výzvy</w:t>
      </w:r>
    </w:p>
    <w:p w:rsidR="008C70B3" w:rsidRDefault="008C70B3" w:rsidP="008C70B3">
      <w:pPr>
        <w:pStyle w:val="Odstavecseseznamem"/>
        <w:ind w:left="1080"/>
        <w:rPr>
          <w:rFonts w:ascii="Book Antiqua" w:hAnsi="Book Antiqua"/>
        </w:rPr>
      </w:pPr>
    </w:p>
    <w:p w:rsidR="00084630" w:rsidRDefault="00084630" w:rsidP="008C70B3">
      <w:pPr>
        <w:pStyle w:val="Odstavecseseznamem"/>
        <w:numPr>
          <w:ilvl w:val="0"/>
          <w:numId w:val="8"/>
        </w:numPr>
        <w:rPr>
          <w:rFonts w:ascii="Book Antiqua" w:hAnsi="Book Antiqua"/>
        </w:rPr>
      </w:pPr>
      <w:r>
        <w:rPr>
          <w:rFonts w:ascii="Book Antiqua" w:hAnsi="Book Antiqua"/>
        </w:rPr>
        <w:t>Pakliže má být „upozornění“ uvedeno před záhlavím (což je samo o sobě nevhodné), je třeba jej graficky oddělit a zvážit nutnost „</w:t>
      </w:r>
      <w:r w:rsidRPr="00BF09F7">
        <w:rPr>
          <w:rFonts w:ascii="Book Antiqua" w:hAnsi="Book Antiqua"/>
          <w:i/>
        </w:rPr>
        <w:t>zatučnění</w:t>
      </w:r>
      <w:r>
        <w:rPr>
          <w:rFonts w:ascii="Book Antiqua" w:hAnsi="Book Antiqua"/>
        </w:rPr>
        <w:t xml:space="preserve">“ celého textu. </w:t>
      </w:r>
    </w:p>
    <w:p w:rsidR="00084630" w:rsidRDefault="00084630" w:rsidP="00084630">
      <w:pPr>
        <w:pStyle w:val="Odstavecseseznamem"/>
        <w:ind w:left="405"/>
        <w:rPr>
          <w:rFonts w:ascii="Book Antiqua" w:hAnsi="Book Antiqua"/>
        </w:rPr>
      </w:pPr>
    </w:p>
    <w:p w:rsidR="00084630" w:rsidRDefault="008C70B3" w:rsidP="00084630">
      <w:pPr>
        <w:pStyle w:val="Odstavecseseznamem"/>
        <w:numPr>
          <w:ilvl w:val="0"/>
          <w:numId w:val="8"/>
        </w:numPr>
        <w:rPr>
          <w:rFonts w:ascii="Book Antiqua" w:hAnsi="Book Antiqua"/>
        </w:rPr>
      </w:pPr>
      <w:r w:rsidRPr="008C70B3">
        <w:rPr>
          <w:rFonts w:ascii="Book Antiqua" w:hAnsi="Book Antiqua"/>
        </w:rPr>
        <w:t>údaj o právním zastoupení (u POV i OPR) by měl být v záhlaví v druhém a nikoliv prvním sloupci, který pouze identifikuje údaj uvedený v</w:t>
      </w:r>
      <w:r w:rsidR="009176C7">
        <w:rPr>
          <w:rFonts w:ascii="Book Antiqua" w:hAnsi="Book Antiqua"/>
        </w:rPr>
        <w:t> </w:t>
      </w:r>
      <w:r w:rsidRPr="008C70B3">
        <w:rPr>
          <w:rFonts w:ascii="Book Antiqua" w:hAnsi="Book Antiqua"/>
        </w:rPr>
        <w:t>řádku</w:t>
      </w:r>
    </w:p>
    <w:p w:rsidR="009176C7" w:rsidRPr="009176C7" w:rsidRDefault="009176C7" w:rsidP="009176C7">
      <w:pPr>
        <w:pStyle w:val="Odstavecseseznamem"/>
        <w:rPr>
          <w:rFonts w:ascii="Book Antiqua" w:hAnsi="Book Antiqua"/>
        </w:rPr>
      </w:pPr>
    </w:p>
    <w:p w:rsidR="009176C7" w:rsidRDefault="009176C7" w:rsidP="009176C7">
      <w:pPr>
        <w:pStyle w:val="Odstavecseseznamem"/>
        <w:numPr>
          <w:ilvl w:val="0"/>
          <w:numId w:val="8"/>
        </w:numPr>
        <w:rPr>
          <w:rFonts w:ascii="Book Antiqua" w:hAnsi="Book Antiqua"/>
        </w:rPr>
      </w:pPr>
      <w:r>
        <w:rPr>
          <w:rFonts w:ascii="Book Antiqua" w:hAnsi="Book Antiqua"/>
        </w:rPr>
        <w:t xml:space="preserve">bylo by vhodné soud vydávající pověření výslovně označit jako exekuční soud </w:t>
      </w:r>
    </w:p>
    <w:p w:rsidR="009176C7" w:rsidRPr="009176C7" w:rsidRDefault="009176C7" w:rsidP="009176C7">
      <w:pPr>
        <w:pStyle w:val="Odstavecseseznamem"/>
        <w:rPr>
          <w:rFonts w:ascii="Book Antiqua" w:hAnsi="Book Antiqua"/>
        </w:rPr>
      </w:pPr>
    </w:p>
    <w:p w:rsidR="009176C7" w:rsidRPr="009176C7" w:rsidRDefault="009176C7" w:rsidP="009176C7">
      <w:pPr>
        <w:pStyle w:val="Odstavecseseznamem"/>
        <w:ind w:left="405"/>
        <w:rPr>
          <w:rFonts w:ascii="Book Antiqua" w:hAnsi="Book Antiqua"/>
        </w:rPr>
      </w:pPr>
    </w:p>
    <w:p w:rsidR="00084630" w:rsidRDefault="00084630" w:rsidP="00084630">
      <w:pPr>
        <w:pStyle w:val="Odstavecseseznamem"/>
        <w:numPr>
          <w:ilvl w:val="0"/>
          <w:numId w:val="8"/>
        </w:numPr>
        <w:spacing w:after="0"/>
        <w:rPr>
          <w:rFonts w:ascii="Book Antiqua" w:hAnsi="Book Antiqua"/>
        </w:rPr>
      </w:pPr>
      <w:r w:rsidRPr="00084630">
        <w:rPr>
          <w:rFonts w:ascii="Book Antiqua" w:hAnsi="Book Antiqua"/>
        </w:rPr>
        <w:t>čt</w:t>
      </w:r>
      <w:r>
        <w:rPr>
          <w:rFonts w:ascii="Book Antiqua" w:hAnsi="Book Antiqua"/>
        </w:rPr>
        <w:t xml:space="preserve">vrtý řádek bodu druhý postačuje, </w:t>
      </w:r>
      <w:r w:rsidRPr="00084630">
        <w:rPr>
          <w:rFonts w:ascii="Book Antiqua" w:hAnsi="Book Antiqua"/>
        </w:rPr>
        <w:t xml:space="preserve">aby zněl: „2. v hotovosti </w:t>
      </w:r>
      <w:r>
        <w:rPr>
          <w:rFonts w:ascii="Book Antiqua" w:hAnsi="Book Antiqua"/>
        </w:rPr>
        <w:t>v úředních hodinách na pokladně</w:t>
      </w:r>
      <w:r w:rsidRPr="00084630">
        <w:rPr>
          <w:rFonts w:ascii="Book Antiqua" w:hAnsi="Book Antiqua"/>
        </w:rPr>
        <w:t>“</w:t>
      </w:r>
    </w:p>
    <w:p w:rsidR="00084630" w:rsidRPr="00084630" w:rsidRDefault="00084630" w:rsidP="00084630">
      <w:pPr>
        <w:pStyle w:val="Odstavecseseznamem"/>
        <w:rPr>
          <w:rFonts w:ascii="Book Antiqua" w:hAnsi="Book Antiqua"/>
        </w:rPr>
      </w:pPr>
    </w:p>
    <w:p w:rsidR="0057187C" w:rsidRPr="009176C7" w:rsidRDefault="00084630" w:rsidP="009176C7">
      <w:pPr>
        <w:pStyle w:val="Odstavecseseznamem"/>
        <w:numPr>
          <w:ilvl w:val="0"/>
          <w:numId w:val="8"/>
        </w:numPr>
        <w:spacing w:after="0"/>
        <w:rPr>
          <w:rFonts w:ascii="Book Antiqua" w:hAnsi="Book Antiqua"/>
        </w:rPr>
      </w:pPr>
      <w:r w:rsidRPr="00084630">
        <w:rPr>
          <w:rFonts w:ascii="Book Antiqua" w:hAnsi="Book Antiqua"/>
        </w:rPr>
        <w:t xml:space="preserve">v tabulce č. </w:t>
      </w:r>
      <w:r w:rsidR="0057187C">
        <w:rPr>
          <w:rFonts w:ascii="Book Antiqua" w:hAnsi="Book Antiqua"/>
        </w:rPr>
        <w:t xml:space="preserve">2 – příslušenství nemusí nutně být počítáno pouze z jistiny – může být počítáno pouze z její části, z jiné částky, či i z narůstajícího příslušenství =&gt; v závislosti na konkrétních okolnostech; tabulka č. 2 má ambici postihnout všechny možné situace, což je prakticky nemožné – namísto tabulky by bylo </w:t>
      </w:r>
      <w:r w:rsidR="0057187C" w:rsidRPr="00FC1ABD">
        <w:rPr>
          <w:rFonts w:ascii="Book Antiqua" w:hAnsi="Book Antiqua"/>
          <w:b/>
        </w:rPr>
        <w:t>vhodné uvést pouze</w:t>
      </w:r>
      <w:r w:rsidR="0057187C">
        <w:rPr>
          <w:rFonts w:ascii="Book Antiqua" w:hAnsi="Book Antiqua"/>
        </w:rPr>
        <w:t>:</w:t>
      </w:r>
      <w:r w:rsidR="009176C7">
        <w:rPr>
          <w:rFonts w:ascii="Book Antiqua" w:hAnsi="Book Antiqua"/>
        </w:rPr>
        <w:t xml:space="preserve"> </w:t>
      </w:r>
      <w:r w:rsidR="0057187C" w:rsidRPr="009176C7">
        <w:rPr>
          <w:rFonts w:ascii="Book Antiqua" w:hAnsi="Book Antiqua"/>
          <w:i/>
        </w:rPr>
        <w:t xml:space="preserve">Vymáhaná částka se navyšuje každý den přibližně o: (uvedení částky) Kč + jeden </w:t>
      </w:r>
      <w:r w:rsidR="009176C7" w:rsidRPr="009176C7">
        <w:rPr>
          <w:rFonts w:ascii="Book Antiqua" w:hAnsi="Book Antiqua"/>
          <w:i/>
        </w:rPr>
        <w:t xml:space="preserve">volný </w:t>
      </w:r>
      <w:r w:rsidR="0057187C" w:rsidRPr="009176C7">
        <w:rPr>
          <w:rFonts w:ascii="Book Antiqua" w:hAnsi="Book Antiqua"/>
          <w:i/>
        </w:rPr>
        <w:t>řádek pro sdělení případných důležitých informací (opakující se plnění atp.)</w:t>
      </w:r>
    </w:p>
    <w:p w:rsidR="0057187C" w:rsidRPr="0057187C" w:rsidRDefault="0057187C" w:rsidP="0057187C">
      <w:pPr>
        <w:rPr>
          <w:rFonts w:ascii="Book Antiqua" w:hAnsi="Book Antiqua"/>
        </w:rPr>
      </w:pPr>
    </w:p>
    <w:p w:rsidR="0057187C" w:rsidRPr="00084630" w:rsidRDefault="0057187C" w:rsidP="00084630">
      <w:pPr>
        <w:pStyle w:val="Odstavecseseznamem"/>
        <w:numPr>
          <w:ilvl w:val="0"/>
          <w:numId w:val="8"/>
        </w:numPr>
        <w:spacing w:after="0"/>
        <w:rPr>
          <w:rFonts w:ascii="Book Antiqua" w:hAnsi="Book Antiqua"/>
        </w:rPr>
      </w:pPr>
      <w:r>
        <w:rPr>
          <w:rFonts w:ascii="Book Antiqua" w:hAnsi="Book Antiqua"/>
        </w:rPr>
        <w:t>Příklad výpočtu by neměl být označen číslem řádku (2), je to matoucí</w:t>
      </w:r>
      <w:r w:rsidR="00BF09F7">
        <w:rPr>
          <w:rFonts w:ascii="Book Antiqua" w:hAnsi="Book Antiqua"/>
        </w:rPr>
        <w:t>.</w:t>
      </w:r>
    </w:p>
    <w:p w:rsidR="003C330E" w:rsidRPr="009176C7" w:rsidRDefault="003C330E" w:rsidP="009176C7">
      <w:pPr>
        <w:rPr>
          <w:rFonts w:ascii="Book Antiqua" w:hAnsi="Book Antiqua"/>
        </w:rPr>
      </w:pPr>
    </w:p>
    <w:p w:rsidR="003C330E" w:rsidRPr="0064700B" w:rsidRDefault="009A34EC" w:rsidP="00FC1ABD">
      <w:pPr>
        <w:pStyle w:val="Odstavecseseznamem"/>
        <w:numPr>
          <w:ilvl w:val="0"/>
          <w:numId w:val="13"/>
        </w:numPr>
        <w:rPr>
          <w:rFonts w:ascii="Book Antiqua" w:hAnsi="Book Antiqua"/>
          <w:u w:val="single"/>
        </w:rPr>
      </w:pPr>
      <w:r w:rsidRPr="0064700B">
        <w:rPr>
          <w:rFonts w:ascii="Book Antiqua" w:hAnsi="Book Antiqua"/>
          <w:u w:val="single"/>
        </w:rPr>
        <w:t>Ke vzoru EP – mzda</w:t>
      </w:r>
    </w:p>
    <w:p w:rsidR="00FC1ABD" w:rsidRPr="00FC1ABD" w:rsidRDefault="00FC1ABD" w:rsidP="00FC1ABD">
      <w:pPr>
        <w:pStyle w:val="Odstavecseseznamem"/>
        <w:ind w:left="1080"/>
        <w:rPr>
          <w:rFonts w:ascii="Book Antiqua" w:hAnsi="Book Antiqua"/>
        </w:rPr>
      </w:pPr>
    </w:p>
    <w:p w:rsidR="00FC1ABD" w:rsidRDefault="00FC1ABD" w:rsidP="00FC1ABD">
      <w:pPr>
        <w:pStyle w:val="Odstavecseseznamem"/>
        <w:numPr>
          <w:ilvl w:val="0"/>
          <w:numId w:val="8"/>
        </w:numPr>
        <w:rPr>
          <w:rFonts w:ascii="Book Antiqua" w:hAnsi="Book Antiqua"/>
        </w:rPr>
      </w:pPr>
      <w:r w:rsidRPr="008C70B3">
        <w:rPr>
          <w:rFonts w:ascii="Book Antiqua" w:hAnsi="Book Antiqua"/>
        </w:rPr>
        <w:t>údaj o právním zastoupení (u POV i OPR) by měl být v záhlaví v druhém a nikoliv prvním sloupci, který pouze identifikuje údaj uvedený v</w:t>
      </w:r>
      <w:r>
        <w:rPr>
          <w:rFonts w:ascii="Book Antiqua" w:hAnsi="Book Antiqua"/>
        </w:rPr>
        <w:t> </w:t>
      </w:r>
      <w:r w:rsidRPr="008C70B3">
        <w:rPr>
          <w:rFonts w:ascii="Book Antiqua" w:hAnsi="Book Antiqua"/>
        </w:rPr>
        <w:t>řádku</w:t>
      </w:r>
    </w:p>
    <w:p w:rsidR="00FC1ABD" w:rsidRPr="00BF09F7" w:rsidRDefault="00FC1ABD" w:rsidP="00FC1ABD">
      <w:pPr>
        <w:pStyle w:val="Odstavecseseznamem"/>
        <w:ind w:left="405"/>
        <w:rPr>
          <w:rFonts w:ascii="Book Antiqua" w:hAnsi="Book Antiqua"/>
        </w:rPr>
      </w:pPr>
    </w:p>
    <w:p w:rsidR="00FC1ABD" w:rsidRPr="00A71B07" w:rsidRDefault="00FC1ABD" w:rsidP="00FC1ABD">
      <w:pPr>
        <w:pStyle w:val="Odstavecseseznamem"/>
        <w:numPr>
          <w:ilvl w:val="0"/>
          <w:numId w:val="8"/>
        </w:numPr>
        <w:spacing w:after="160" w:line="259" w:lineRule="auto"/>
        <w:jc w:val="left"/>
        <w:rPr>
          <w:rFonts w:ascii="Book Antiqua" w:hAnsi="Book Antiqua"/>
        </w:rPr>
      </w:pPr>
      <w:r w:rsidRPr="009669BB">
        <w:rPr>
          <w:rFonts w:ascii="Book Antiqua" w:hAnsi="Book Antiqua"/>
        </w:rPr>
        <w:t>Poučení slovy zákona (§ 48 písm. h) by mělo být o odvolání ne o všeobecném opravném prostředku, tj.: Proti exekučnímu příkazu není přípustné odvolání.</w:t>
      </w:r>
    </w:p>
    <w:p w:rsidR="00FC1ABD" w:rsidRDefault="00FC1ABD" w:rsidP="00FC1ABD">
      <w:pPr>
        <w:pStyle w:val="Odstavecseseznamem"/>
        <w:spacing w:after="160" w:line="259" w:lineRule="auto"/>
        <w:ind w:left="405"/>
        <w:jc w:val="left"/>
        <w:rPr>
          <w:rFonts w:ascii="Book Antiqua" w:hAnsi="Book Antiqua"/>
        </w:rPr>
      </w:pPr>
    </w:p>
    <w:p w:rsidR="00FC1ABD" w:rsidRDefault="00FC1ABD" w:rsidP="00FC1ABD">
      <w:pPr>
        <w:pStyle w:val="Odstavecseseznamem"/>
        <w:numPr>
          <w:ilvl w:val="0"/>
          <w:numId w:val="8"/>
        </w:numPr>
        <w:spacing w:after="160" w:line="259" w:lineRule="auto"/>
        <w:rPr>
          <w:rFonts w:ascii="Book Antiqua" w:hAnsi="Book Antiqua"/>
        </w:rPr>
      </w:pPr>
      <w:r w:rsidRPr="009669BB">
        <w:rPr>
          <w:rFonts w:ascii="Book Antiqua" w:hAnsi="Book Antiqua"/>
        </w:rPr>
        <w:t xml:space="preserve">Výroky by zásadně neměly být celé tučné! Tučně zvýrazněná má být část jako: zakazuje se, ukládá se apod. </w:t>
      </w:r>
    </w:p>
    <w:p w:rsidR="00FC1ABD" w:rsidRPr="00A71B07" w:rsidRDefault="00FC1ABD" w:rsidP="00FC1ABD">
      <w:pPr>
        <w:pStyle w:val="Odstavecseseznamem"/>
        <w:spacing w:after="160" w:line="259" w:lineRule="auto"/>
        <w:ind w:left="405"/>
        <w:jc w:val="left"/>
        <w:rPr>
          <w:rFonts w:ascii="Book Antiqua" w:hAnsi="Book Antiqua"/>
        </w:rPr>
      </w:pPr>
    </w:p>
    <w:p w:rsidR="00FC1ABD" w:rsidRDefault="00FC1ABD" w:rsidP="00FC1ABD">
      <w:pPr>
        <w:pStyle w:val="Odstavecseseznamem"/>
        <w:numPr>
          <w:ilvl w:val="0"/>
          <w:numId w:val="8"/>
        </w:numPr>
        <w:spacing w:after="160" w:line="259" w:lineRule="auto"/>
        <w:rPr>
          <w:rFonts w:ascii="Book Antiqua" w:hAnsi="Book Antiqua"/>
        </w:rPr>
      </w:pPr>
      <w:r>
        <w:rPr>
          <w:rFonts w:ascii="Book Antiqua" w:hAnsi="Book Antiqua"/>
        </w:rPr>
        <w:t xml:space="preserve">V sekci Další informace navrhujeme vypustit bod 3. Vyčíslení vymáhané povinnosti v EP by (s ohledem na podrobné informace ve Výzvě a VYZE) postačovalo </w:t>
      </w:r>
      <w:r w:rsidRPr="009669BB">
        <w:rPr>
          <w:rFonts w:ascii="Book Antiqua" w:hAnsi="Book Antiqua"/>
          <w:b/>
        </w:rPr>
        <w:t>pouze 1 souhrnnou částkou</w:t>
      </w:r>
      <w:r>
        <w:rPr>
          <w:rFonts w:ascii="Book Antiqua" w:hAnsi="Book Antiqua"/>
        </w:rPr>
        <w:t xml:space="preserve">. Tím spíše to platí pro tabulku číslo 2 zde, platí </w:t>
      </w:r>
      <w:r w:rsidRPr="009669BB">
        <w:rPr>
          <w:rFonts w:ascii="Book Antiqua" w:hAnsi="Book Antiqua"/>
        </w:rPr>
        <w:t xml:space="preserve">navíc </w:t>
      </w:r>
      <w:r>
        <w:rPr>
          <w:rFonts w:ascii="Book Antiqua" w:hAnsi="Book Antiqua"/>
        </w:rPr>
        <w:t xml:space="preserve">i </w:t>
      </w:r>
      <w:r w:rsidRPr="009669BB">
        <w:rPr>
          <w:rFonts w:ascii="Book Antiqua" w:hAnsi="Book Antiqua"/>
        </w:rPr>
        <w:t>to, co je uvedeno v připomínkách k</w:t>
      </w:r>
      <w:r>
        <w:rPr>
          <w:rFonts w:ascii="Book Antiqua" w:hAnsi="Book Antiqua"/>
        </w:rPr>
        <w:t> </w:t>
      </w:r>
      <w:r w:rsidRPr="009669BB">
        <w:rPr>
          <w:rFonts w:ascii="Book Antiqua" w:hAnsi="Book Antiqua"/>
        </w:rPr>
        <w:t>Výzvě</w:t>
      </w:r>
      <w:r>
        <w:rPr>
          <w:rFonts w:ascii="Book Antiqua" w:hAnsi="Book Antiqua"/>
        </w:rPr>
        <w:t>.</w:t>
      </w:r>
    </w:p>
    <w:p w:rsidR="00F86089" w:rsidRPr="00F86089" w:rsidRDefault="00F86089" w:rsidP="00F86089">
      <w:pPr>
        <w:pStyle w:val="Odstavecseseznamem"/>
        <w:rPr>
          <w:rFonts w:ascii="Book Antiqua" w:hAnsi="Book Antiqua"/>
        </w:rPr>
      </w:pPr>
    </w:p>
    <w:p w:rsidR="00F86089" w:rsidRPr="00F86089" w:rsidRDefault="00F86089" w:rsidP="00F86089">
      <w:pPr>
        <w:pStyle w:val="Odstavecseseznamem"/>
        <w:numPr>
          <w:ilvl w:val="0"/>
          <w:numId w:val="8"/>
        </w:numPr>
        <w:rPr>
          <w:rFonts w:ascii="Book Antiqua" w:hAnsi="Book Antiqua"/>
        </w:rPr>
      </w:pPr>
      <w:r>
        <w:rPr>
          <w:rFonts w:ascii="Book Antiqua" w:hAnsi="Book Antiqua"/>
        </w:rPr>
        <w:t xml:space="preserve">Výroky by měly obsahovat specifikaci, že jde o příjmy </w:t>
      </w:r>
      <w:r w:rsidRPr="00F86089">
        <w:rPr>
          <w:rFonts w:ascii="Book Antiqua" w:hAnsi="Book Antiqua"/>
          <w:u w:val="single"/>
        </w:rPr>
        <w:t>povinného</w:t>
      </w:r>
    </w:p>
    <w:p w:rsidR="00F86089" w:rsidRPr="00F86089" w:rsidRDefault="00F86089" w:rsidP="00F86089">
      <w:pPr>
        <w:pStyle w:val="Odstavecseseznamem"/>
        <w:rPr>
          <w:rFonts w:cstheme="minorHAnsi"/>
        </w:rPr>
      </w:pPr>
    </w:p>
    <w:p w:rsidR="00FC1ABD" w:rsidRPr="00F86089" w:rsidRDefault="00FC1ABD" w:rsidP="00F86089">
      <w:pPr>
        <w:pStyle w:val="Odstavecseseznamem"/>
        <w:numPr>
          <w:ilvl w:val="0"/>
          <w:numId w:val="8"/>
        </w:numPr>
        <w:rPr>
          <w:rFonts w:ascii="Book Antiqua" w:hAnsi="Book Antiqua"/>
        </w:rPr>
      </w:pPr>
      <w:r w:rsidRPr="00F86089">
        <w:rPr>
          <w:rFonts w:ascii="Book Antiqua" w:hAnsi="Book Antiqua"/>
        </w:rPr>
        <w:t>chybí varianta pro případ, že má povinný více pracovních poměrů (§ 298 odst. 1 OSŘ)</w:t>
      </w:r>
    </w:p>
    <w:p w:rsidR="003C330E" w:rsidRPr="002E2B97" w:rsidRDefault="003C330E" w:rsidP="002E2B97">
      <w:pPr>
        <w:rPr>
          <w:rFonts w:ascii="Book Antiqua" w:hAnsi="Book Antiqua"/>
        </w:rPr>
      </w:pPr>
    </w:p>
    <w:p w:rsidR="009A34EC" w:rsidRPr="00F86089" w:rsidRDefault="009A34EC" w:rsidP="009A34EC">
      <w:pPr>
        <w:pStyle w:val="Odstavecseseznamem"/>
        <w:numPr>
          <w:ilvl w:val="0"/>
          <w:numId w:val="13"/>
        </w:numPr>
        <w:rPr>
          <w:rFonts w:ascii="Book Antiqua" w:hAnsi="Book Antiqua"/>
          <w:u w:val="single"/>
        </w:rPr>
      </w:pPr>
      <w:r w:rsidRPr="00F86089">
        <w:rPr>
          <w:rFonts w:ascii="Book Antiqua" w:hAnsi="Book Antiqua"/>
          <w:u w:val="single"/>
        </w:rPr>
        <w:t xml:space="preserve">Ke </w:t>
      </w:r>
      <w:r w:rsidR="003C330E" w:rsidRPr="00F86089">
        <w:rPr>
          <w:rFonts w:ascii="Book Antiqua" w:hAnsi="Book Antiqua"/>
          <w:u w:val="single"/>
        </w:rPr>
        <w:t>vzoru EP – účet</w:t>
      </w:r>
    </w:p>
    <w:p w:rsidR="003C330E" w:rsidRDefault="003C330E" w:rsidP="003C330E">
      <w:pPr>
        <w:pStyle w:val="Odstavecseseznamem"/>
        <w:rPr>
          <w:rFonts w:ascii="Book Antiqua" w:hAnsi="Book Antiqua"/>
        </w:rPr>
      </w:pPr>
    </w:p>
    <w:p w:rsidR="00F86089" w:rsidRDefault="00F86089" w:rsidP="00F86089">
      <w:pPr>
        <w:pStyle w:val="Odstavecseseznamem"/>
        <w:numPr>
          <w:ilvl w:val="0"/>
          <w:numId w:val="8"/>
        </w:numPr>
        <w:rPr>
          <w:rFonts w:ascii="Book Antiqua" w:hAnsi="Book Antiqua"/>
        </w:rPr>
      </w:pPr>
      <w:r w:rsidRPr="008C70B3">
        <w:rPr>
          <w:rFonts w:ascii="Book Antiqua" w:hAnsi="Book Antiqua"/>
        </w:rPr>
        <w:t>údaj o právním zastoupení (u POV i OPR) by měl být v záhlaví v druhém a nikoliv prvním sloupci, který pouze identifikuje údaj uvedený v</w:t>
      </w:r>
      <w:r>
        <w:rPr>
          <w:rFonts w:ascii="Book Antiqua" w:hAnsi="Book Antiqua"/>
        </w:rPr>
        <w:t> </w:t>
      </w:r>
      <w:r w:rsidRPr="008C70B3">
        <w:rPr>
          <w:rFonts w:ascii="Book Antiqua" w:hAnsi="Book Antiqua"/>
        </w:rPr>
        <w:t>řádku</w:t>
      </w:r>
    </w:p>
    <w:p w:rsidR="00F86089" w:rsidRPr="00BF09F7" w:rsidRDefault="00F86089" w:rsidP="00F86089">
      <w:pPr>
        <w:pStyle w:val="Odstavecseseznamem"/>
        <w:ind w:left="405"/>
        <w:rPr>
          <w:rFonts w:ascii="Book Antiqua" w:hAnsi="Book Antiqua"/>
        </w:rPr>
      </w:pPr>
    </w:p>
    <w:p w:rsidR="00F86089" w:rsidRPr="00A71B07" w:rsidRDefault="00F86089" w:rsidP="00F86089">
      <w:pPr>
        <w:pStyle w:val="Odstavecseseznamem"/>
        <w:numPr>
          <w:ilvl w:val="0"/>
          <w:numId w:val="8"/>
        </w:numPr>
        <w:spacing w:after="160" w:line="259" w:lineRule="auto"/>
        <w:jc w:val="left"/>
        <w:rPr>
          <w:rFonts w:ascii="Book Antiqua" w:hAnsi="Book Antiqua"/>
        </w:rPr>
      </w:pPr>
      <w:r w:rsidRPr="009669BB">
        <w:rPr>
          <w:rFonts w:ascii="Book Antiqua" w:hAnsi="Book Antiqua"/>
        </w:rPr>
        <w:t>Poučení slovy zákona (§ 48 písm. h) by mělo být o odvolání ne o všeobecném opravném prostředku, tj.: Proti exekučnímu příkazu není přípustné odvolání.</w:t>
      </w:r>
    </w:p>
    <w:p w:rsidR="00F86089" w:rsidRDefault="00F86089" w:rsidP="00F86089">
      <w:pPr>
        <w:pStyle w:val="Odstavecseseznamem"/>
        <w:spacing w:after="160" w:line="259" w:lineRule="auto"/>
        <w:ind w:left="405"/>
        <w:jc w:val="left"/>
        <w:rPr>
          <w:rFonts w:ascii="Book Antiqua" w:hAnsi="Book Antiqua"/>
        </w:rPr>
      </w:pPr>
    </w:p>
    <w:p w:rsidR="00F86089" w:rsidRDefault="00F86089" w:rsidP="00F86089">
      <w:pPr>
        <w:pStyle w:val="Odstavecseseznamem"/>
        <w:numPr>
          <w:ilvl w:val="0"/>
          <w:numId w:val="8"/>
        </w:numPr>
        <w:spacing w:after="160" w:line="259" w:lineRule="auto"/>
        <w:rPr>
          <w:rFonts w:ascii="Book Antiqua" w:hAnsi="Book Antiqua"/>
        </w:rPr>
      </w:pPr>
      <w:r w:rsidRPr="009669BB">
        <w:rPr>
          <w:rFonts w:ascii="Book Antiqua" w:hAnsi="Book Antiqua"/>
        </w:rPr>
        <w:t xml:space="preserve">Výroky by zásadně neměly být celé tučné! Tučně zvýrazněná má být část jako: zakazuje se, ukládá se apod. </w:t>
      </w:r>
    </w:p>
    <w:p w:rsidR="00F86089" w:rsidRPr="00A71B07" w:rsidRDefault="00F86089" w:rsidP="00F86089">
      <w:pPr>
        <w:pStyle w:val="Odstavecseseznamem"/>
        <w:spacing w:after="160" w:line="259" w:lineRule="auto"/>
        <w:ind w:left="405"/>
        <w:jc w:val="left"/>
        <w:rPr>
          <w:rFonts w:ascii="Book Antiqua" w:hAnsi="Book Antiqua"/>
        </w:rPr>
      </w:pPr>
    </w:p>
    <w:p w:rsidR="00F86089" w:rsidRPr="00F86089" w:rsidRDefault="00F86089" w:rsidP="00F86089">
      <w:pPr>
        <w:pStyle w:val="Odstavecseseznamem"/>
        <w:numPr>
          <w:ilvl w:val="0"/>
          <w:numId w:val="8"/>
        </w:numPr>
        <w:spacing w:after="160" w:line="259" w:lineRule="auto"/>
        <w:rPr>
          <w:rFonts w:ascii="Book Antiqua" w:hAnsi="Book Antiqua"/>
        </w:rPr>
      </w:pPr>
      <w:r>
        <w:rPr>
          <w:rFonts w:ascii="Book Antiqua" w:hAnsi="Book Antiqua"/>
        </w:rPr>
        <w:t xml:space="preserve">V sekci Další informace navrhujeme vypustit bod 3. Vyčíslení vymáhané povinnosti v EP by (s ohledem na podrobné informace ve Výzvě a VYZE) postačovalo </w:t>
      </w:r>
      <w:r w:rsidRPr="009669BB">
        <w:rPr>
          <w:rFonts w:ascii="Book Antiqua" w:hAnsi="Book Antiqua"/>
          <w:b/>
        </w:rPr>
        <w:t>pouze 1 souhrnnou částkou</w:t>
      </w:r>
      <w:r>
        <w:rPr>
          <w:rFonts w:ascii="Book Antiqua" w:hAnsi="Book Antiqua"/>
        </w:rPr>
        <w:t xml:space="preserve">. Tím spíše to platí pro tabulku číslo 2 zde, platí </w:t>
      </w:r>
      <w:r w:rsidRPr="009669BB">
        <w:rPr>
          <w:rFonts w:ascii="Book Antiqua" w:hAnsi="Book Antiqua"/>
        </w:rPr>
        <w:t xml:space="preserve">navíc </w:t>
      </w:r>
      <w:r>
        <w:rPr>
          <w:rFonts w:ascii="Book Antiqua" w:hAnsi="Book Antiqua"/>
        </w:rPr>
        <w:t xml:space="preserve">i </w:t>
      </w:r>
      <w:r w:rsidRPr="009669BB">
        <w:rPr>
          <w:rFonts w:ascii="Book Antiqua" w:hAnsi="Book Antiqua"/>
        </w:rPr>
        <w:t>to, co je uvedeno v připomínkách k</w:t>
      </w:r>
      <w:r>
        <w:rPr>
          <w:rFonts w:ascii="Book Antiqua" w:hAnsi="Book Antiqua"/>
        </w:rPr>
        <w:t> </w:t>
      </w:r>
      <w:r w:rsidRPr="009669BB">
        <w:rPr>
          <w:rFonts w:ascii="Book Antiqua" w:hAnsi="Book Antiqua"/>
        </w:rPr>
        <w:t>Výzvě</w:t>
      </w:r>
      <w:r>
        <w:rPr>
          <w:rFonts w:ascii="Book Antiqua" w:hAnsi="Book Antiqua"/>
        </w:rPr>
        <w:t>.</w:t>
      </w:r>
    </w:p>
    <w:p w:rsidR="00F86089" w:rsidRPr="00F86089" w:rsidRDefault="00F86089" w:rsidP="00F86089">
      <w:pPr>
        <w:pStyle w:val="Odstavecseseznamem"/>
        <w:spacing w:after="160" w:line="259" w:lineRule="auto"/>
        <w:ind w:left="405"/>
        <w:rPr>
          <w:rFonts w:ascii="Book Antiqua" w:hAnsi="Book Antiqua"/>
        </w:rPr>
      </w:pPr>
    </w:p>
    <w:p w:rsidR="00F86089" w:rsidRPr="00F86089" w:rsidRDefault="00F86089" w:rsidP="00F86089">
      <w:pPr>
        <w:pStyle w:val="Odstavecseseznamem"/>
        <w:numPr>
          <w:ilvl w:val="0"/>
          <w:numId w:val="28"/>
        </w:numPr>
        <w:spacing w:after="160" w:line="256" w:lineRule="auto"/>
        <w:ind w:left="405"/>
        <w:rPr>
          <w:rFonts w:ascii="Book Antiqua" w:eastAsiaTheme="minorHAnsi" w:hAnsi="Book Antiqua"/>
          <w:sz w:val="22"/>
        </w:rPr>
      </w:pPr>
      <w:r w:rsidRPr="00F86089">
        <w:rPr>
          <w:rFonts w:ascii="Book Antiqua" w:hAnsi="Book Antiqua"/>
        </w:rPr>
        <w:t xml:space="preserve">bylo </w:t>
      </w:r>
      <w:r>
        <w:rPr>
          <w:rFonts w:ascii="Book Antiqua" w:hAnsi="Book Antiqua"/>
        </w:rPr>
        <w:t xml:space="preserve">by vhodné </w:t>
      </w:r>
      <w:r w:rsidRPr="00F86089">
        <w:rPr>
          <w:rFonts w:ascii="Book Antiqua" w:hAnsi="Book Antiqua"/>
        </w:rPr>
        <w:t>specifikovat výrok I. co do specifikace účtu a peněžního ústavu (alespoň odkazem) – viz § 49 odst. 1 EŘ</w:t>
      </w:r>
      <w:r>
        <w:rPr>
          <w:rFonts w:ascii="Book Antiqua" w:hAnsi="Book Antiqua"/>
        </w:rPr>
        <w:t xml:space="preserve"> – naopak tuto specifikaci odebrat z úvodní tabulky</w:t>
      </w:r>
    </w:p>
    <w:p w:rsidR="00F86089" w:rsidRPr="00F86089" w:rsidRDefault="00F86089" w:rsidP="00F86089">
      <w:pPr>
        <w:pStyle w:val="Odstavecseseznamem"/>
        <w:spacing w:after="160" w:line="256" w:lineRule="auto"/>
        <w:ind w:left="405" w:hanging="360"/>
        <w:rPr>
          <w:rFonts w:ascii="Book Antiqua" w:eastAsiaTheme="minorHAnsi" w:hAnsi="Book Antiqua"/>
          <w:sz w:val="22"/>
        </w:rPr>
      </w:pPr>
    </w:p>
    <w:p w:rsidR="00F86089" w:rsidRPr="00F86089" w:rsidRDefault="00F86089" w:rsidP="00F86089">
      <w:pPr>
        <w:pStyle w:val="Odstavecseseznamem"/>
        <w:numPr>
          <w:ilvl w:val="0"/>
          <w:numId w:val="28"/>
        </w:numPr>
        <w:spacing w:after="160" w:line="256" w:lineRule="auto"/>
        <w:ind w:left="405"/>
        <w:rPr>
          <w:rFonts w:ascii="Book Antiqua" w:hAnsi="Book Antiqua"/>
        </w:rPr>
      </w:pPr>
      <w:r w:rsidRPr="00F86089">
        <w:rPr>
          <w:rFonts w:ascii="Book Antiqua" w:hAnsi="Book Antiqua"/>
        </w:rPr>
        <w:t>chybné číslování u variantního výroku III.</w:t>
      </w:r>
    </w:p>
    <w:p w:rsidR="00F86089" w:rsidRPr="00F86089" w:rsidRDefault="00F86089" w:rsidP="00F86089">
      <w:pPr>
        <w:pStyle w:val="Odstavecseseznamem"/>
        <w:spacing w:after="160" w:line="256" w:lineRule="auto"/>
        <w:ind w:left="405" w:hanging="360"/>
        <w:rPr>
          <w:rFonts w:ascii="Book Antiqua" w:hAnsi="Book Antiqua"/>
        </w:rPr>
      </w:pPr>
    </w:p>
    <w:p w:rsidR="003C330E" w:rsidRPr="00F86089" w:rsidRDefault="00F86089" w:rsidP="00F86089">
      <w:pPr>
        <w:pStyle w:val="Odstavecseseznamem"/>
        <w:numPr>
          <w:ilvl w:val="0"/>
          <w:numId w:val="28"/>
        </w:numPr>
        <w:spacing w:after="160" w:line="256" w:lineRule="auto"/>
        <w:ind w:left="405"/>
        <w:rPr>
          <w:rFonts w:ascii="Book Antiqua" w:hAnsi="Book Antiqua"/>
        </w:rPr>
      </w:pPr>
      <w:r w:rsidRPr="00F86089">
        <w:rPr>
          <w:rFonts w:ascii="Book Antiqua" w:hAnsi="Book Antiqua"/>
        </w:rPr>
        <w:t>poučení: pokud má být vyčíslena částka odpovídající dvojnásobku životního minima, měla by věta spíše znít: „Peněžní ústav vyplatí povinnému na jeho žádost peněžní prostředky do výše dvojnásobku životního minima jednotlivce, jež je dni vydání exekučního příkazu činí (</w:t>
      </w:r>
      <w:r w:rsidRPr="00F86089">
        <w:rPr>
          <w:rFonts w:ascii="Book Antiqua" w:hAnsi="Book Antiqua"/>
          <w:i/>
        </w:rPr>
        <w:t>výše dvojnásobku životního minima</w:t>
      </w:r>
      <w:r w:rsidRPr="00F86089">
        <w:rPr>
          <w:rFonts w:ascii="Book Antiqua" w:hAnsi="Book Antiqua"/>
        </w:rPr>
        <w:t>).“</w:t>
      </w:r>
    </w:p>
    <w:p w:rsidR="003C330E" w:rsidRPr="003C330E" w:rsidRDefault="003C330E" w:rsidP="003C330E">
      <w:pPr>
        <w:pStyle w:val="Odstavecseseznamem"/>
        <w:rPr>
          <w:rFonts w:ascii="Book Antiqua" w:hAnsi="Book Antiqua"/>
        </w:rPr>
      </w:pPr>
    </w:p>
    <w:p w:rsidR="003C330E" w:rsidRPr="00F86089" w:rsidRDefault="003C330E" w:rsidP="00F86089">
      <w:pPr>
        <w:pStyle w:val="Odstavecseseznamem"/>
        <w:numPr>
          <w:ilvl w:val="0"/>
          <w:numId w:val="13"/>
        </w:numPr>
        <w:rPr>
          <w:rFonts w:ascii="Book Antiqua" w:hAnsi="Book Antiqua"/>
          <w:u w:val="single"/>
        </w:rPr>
      </w:pPr>
      <w:r w:rsidRPr="00F86089">
        <w:rPr>
          <w:rFonts w:ascii="Book Antiqua" w:hAnsi="Book Antiqua"/>
          <w:u w:val="single"/>
        </w:rPr>
        <w:t>Ke vzoru EP – účet manžela</w:t>
      </w:r>
    </w:p>
    <w:p w:rsidR="003C330E" w:rsidRDefault="003C330E" w:rsidP="003C330E">
      <w:pPr>
        <w:pStyle w:val="Odstavecseseznamem"/>
        <w:rPr>
          <w:rFonts w:ascii="Book Antiqua" w:hAnsi="Book Antiqua"/>
        </w:rPr>
      </w:pPr>
    </w:p>
    <w:p w:rsidR="00F86089" w:rsidRDefault="00F86089" w:rsidP="00F86089">
      <w:pPr>
        <w:pStyle w:val="Odstavecseseznamem"/>
        <w:numPr>
          <w:ilvl w:val="0"/>
          <w:numId w:val="8"/>
        </w:numPr>
        <w:rPr>
          <w:rFonts w:ascii="Book Antiqua" w:hAnsi="Book Antiqua"/>
        </w:rPr>
      </w:pPr>
      <w:r w:rsidRPr="008C70B3">
        <w:rPr>
          <w:rFonts w:ascii="Book Antiqua" w:hAnsi="Book Antiqua"/>
        </w:rPr>
        <w:t>údaj o právním zastoupení (u POV i OPR) by měl být v záhlaví v druhém a nikoliv prvním sloupci, který pouze identifikuje údaj uvedený v</w:t>
      </w:r>
      <w:r>
        <w:rPr>
          <w:rFonts w:ascii="Book Antiqua" w:hAnsi="Book Antiqua"/>
        </w:rPr>
        <w:t> </w:t>
      </w:r>
      <w:r w:rsidRPr="008C70B3">
        <w:rPr>
          <w:rFonts w:ascii="Book Antiqua" w:hAnsi="Book Antiqua"/>
        </w:rPr>
        <w:t>řádku</w:t>
      </w:r>
    </w:p>
    <w:p w:rsidR="00F86089" w:rsidRPr="00BF09F7" w:rsidRDefault="00F86089" w:rsidP="00F86089">
      <w:pPr>
        <w:pStyle w:val="Odstavecseseznamem"/>
        <w:ind w:left="405"/>
        <w:rPr>
          <w:rFonts w:ascii="Book Antiqua" w:hAnsi="Book Antiqua"/>
        </w:rPr>
      </w:pPr>
    </w:p>
    <w:p w:rsidR="00F86089" w:rsidRPr="00A71B07" w:rsidRDefault="00F86089" w:rsidP="00F86089">
      <w:pPr>
        <w:pStyle w:val="Odstavecseseznamem"/>
        <w:numPr>
          <w:ilvl w:val="0"/>
          <w:numId w:val="8"/>
        </w:numPr>
        <w:spacing w:after="160" w:line="259" w:lineRule="auto"/>
        <w:jc w:val="left"/>
        <w:rPr>
          <w:rFonts w:ascii="Book Antiqua" w:hAnsi="Book Antiqua"/>
        </w:rPr>
      </w:pPr>
      <w:r w:rsidRPr="009669BB">
        <w:rPr>
          <w:rFonts w:ascii="Book Antiqua" w:hAnsi="Book Antiqua"/>
        </w:rPr>
        <w:t>Poučení slovy zákona (§ 48 písm. h) by mělo být o odvolání ne o všeobecném opravném prostředku, tj.: Proti exekučnímu příkazu není přípustné odvolání.</w:t>
      </w:r>
    </w:p>
    <w:p w:rsidR="00F86089" w:rsidRDefault="00F86089" w:rsidP="00F86089">
      <w:pPr>
        <w:pStyle w:val="Odstavecseseznamem"/>
        <w:spacing w:after="160" w:line="259" w:lineRule="auto"/>
        <w:ind w:left="405"/>
        <w:jc w:val="left"/>
        <w:rPr>
          <w:rFonts w:ascii="Book Antiqua" w:hAnsi="Book Antiqua"/>
        </w:rPr>
      </w:pPr>
    </w:p>
    <w:p w:rsidR="00F86089" w:rsidRDefault="00F86089" w:rsidP="00F86089">
      <w:pPr>
        <w:pStyle w:val="Odstavecseseznamem"/>
        <w:numPr>
          <w:ilvl w:val="0"/>
          <w:numId w:val="8"/>
        </w:numPr>
        <w:spacing w:after="160" w:line="259" w:lineRule="auto"/>
        <w:rPr>
          <w:rFonts w:ascii="Book Antiqua" w:hAnsi="Book Antiqua"/>
        </w:rPr>
      </w:pPr>
      <w:r w:rsidRPr="009669BB">
        <w:rPr>
          <w:rFonts w:ascii="Book Antiqua" w:hAnsi="Book Antiqua"/>
        </w:rPr>
        <w:t xml:space="preserve">Výroky by zásadně neměly být celé tučné! Tučně zvýrazněná má být část jako: zakazuje se, ukládá se apod. </w:t>
      </w:r>
    </w:p>
    <w:p w:rsidR="00F86089" w:rsidRPr="00A71B07" w:rsidRDefault="00F86089" w:rsidP="00F86089">
      <w:pPr>
        <w:pStyle w:val="Odstavecseseznamem"/>
        <w:spacing w:after="160" w:line="259" w:lineRule="auto"/>
        <w:ind w:left="405"/>
        <w:jc w:val="left"/>
        <w:rPr>
          <w:rFonts w:ascii="Book Antiqua" w:hAnsi="Book Antiqua"/>
        </w:rPr>
      </w:pPr>
    </w:p>
    <w:p w:rsidR="00F86089" w:rsidRPr="00F86089" w:rsidRDefault="00F86089" w:rsidP="00F86089">
      <w:pPr>
        <w:pStyle w:val="Odstavecseseznamem"/>
        <w:numPr>
          <w:ilvl w:val="0"/>
          <w:numId w:val="8"/>
        </w:numPr>
        <w:spacing w:after="160" w:line="259" w:lineRule="auto"/>
        <w:rPr>
          <w:rFonts w:ascii="Book Antiqua" w:hAnsi="Book Antiqua"/>
        </w:rPr>
      </w:pPr>
      <w:r>
        <w:rPr>
          <w:rFonts w:ascii="Book Antiqua" w:hAnsi="Book Antiqua"/>
        </w:rPr>
        <w:t xml:space="preserve">V sekci Další informace navrhujeme vypustit bod 3. Vyčíslení vymáhané povinnosti v EP by (s ohledem na podrobné informace ve Výzvě a VYZE) postačovalo </w:t>
      </w:r>
      <w:r w:rsidRPr="009669BB">
        <w:rPr>
          <w:rFonts w:ascii="Book Antiqua" w:hAnsi="Book Antiqua"/>
          <w:b/>
        </w:rPr>
        <w:t>pouze 1 souhrnnou částkou</w:t>
      </w:r>
      <w:r>
        <w:rPr>
          <w:rFonts w:ascii="Book Antiqua" w:hAnsi="Book Antiqua"/>
        </w:rPr>
        <w:t xml:space="preserve">. Tím spíše to platí pro tabulku číslo 2 zde, platí </w:t>
      </w:r>
      <w:r w:rsidRPr="009669BB">
        <w:rPr>
          <w:rFonts w:ascii="Book Antiqua" w:hAnsi="Book Antiqua"/>
        </w:rPr>
        <w:t xml:space="preserve">navíc </w:t>
      </w:r>
      <w:r>
        <w:rPr>
          <w:rFonts w:ascii="Book Antiqua" w:hAnsi="Book Antiqua"/>
        </w:rPr>
        <w:t xml:space="preserve">i </w:t>
      </w:r>
      <w:r w:rsidRPr="009669BB">
        <w:rPr>
          <w:rFonts w:ascii="Book Antiqua" w:hAnsi="Book Antiqua"/>
        </w:rPr>
        <w:t>to, co je uvedeno v připomínkách k</w:t>
      </w:r>
      <w:r>
        <w:rPr>
          <w:rFonts w:ascii="Book Antiqua" w:hAnsi="Book Antiqua"/>
        </w:rPr>
        <w:t> </w:t>
      </w:r>
      <w:r w:rsidRPr="009669BB">
        <w:rPr>
          <w:rFonts w:ascii="Book Antiqua" w:hAnsi="Book Antiqua"/>
        </w:rPr>
        <w:t>Výzvě</w:t>
      </w:r>
      <w:r>
        <w:rPr>
          <w:rFonts w:ascii="Book Antiqua" w:hAnsi="Book Antiqua"/>
        </w:rPr>
        <w:t>.</w:t>
      </w:r>
    </w:p>
    <w:p w:rsidR="00F86089" w:rsidRPr="00F86089" w:rsidRDefault="00F86089" w:rsidP="00F86089">
      <w:pPr>
        <w:pStyle w:val="Odstavecseseznamem"/>
        <w:spacing w:after="160" w:line="259" w:lineRule="auto"/>
        <w:ind w:left="405"/>
        <w:rPr>
          <w:rFonts w:ascii="Book Antiqua" w:hAnsi="Book Antiqua"/>
        </w:rPr>
      </w:pPr>
    </w:p>
    <w:p w:rsidR="00F86089" w:rsidRPr="00F86089" w:rsidRDefault="00F86089" w:rsidP="00F86089">
      <w:pPr>
        <w:pStyle w:val="Odstavecseseznamem"/>
        <w:numPr>
          <w:ilvl w:val="0"/>
          <w:numId w:val="28"/>
        </w:numPr>
        <w:spacing w:after="160" w:line="256" w:lineRule="auto"/>
        <w:ind w:left="405"/>
        <w:rPr>
          <w:rFonts w:ascii="Book Antiqua" w:eastAsiaTheme="minorHAnsi" w:hAnsi="Book Antiqua"/>
          <w:sz w:val="22"/>
        </w:rPr>
      </w:pPr>
      <w:r w:rsidRPr="00F86089">
        <w:rPr>
          <w:rFonts w:ascii="Book Antiqua" w:hAnsi="Book Antiqua"/>
        </w:rPr>
        <w:t xml:space="preserve">bylo </w:t>
      </w:r>
      <w:r>
        <w:rPr>
          <w:rFonts w:ascii="Book Antiqua" w:hAnsi="Book Antiqua"/>
        </w:rPr>
        <w:t xml:space="preserve">by vhodné </w:t>
      </w:r>
      <w:r w:rsidRPr="00F86089">
        <w:rPr>
          <w:rFonts w:ascii="Book Antiqua" w:hAnsi="Book Antiqua"/>
        </w:rPr>
        <w:t>specifikovat výrok I. co do specifikace účtu a peněžního ústavu (alespoň odkazem) – viz § 49 odst. 1 EŘ</w:t>
      </w:r>
      <w:r>
        <w:rPr>
          <w:rFonts w:ascii="Book Antiqua" w:hAnsi="Book Antiqua"/>
        </w:rPr>
        <w:t xml:space="preserve"> – naopak tuto specifikaci odebrat z úvodní tabulky</w:t>
      </w:r>
    </w:p>
    <w:p w:rsidR="00F86089" w:rsidRPr="00F86089" w:rsidRDefault="00F86089" w:rsidP="00F86089">
      <w:pPr>
        <w:pStyle w:val="Odstavecseseznamem"/>
        <w:spacing w:after="160" w:line="256" w:lineRule="auto"/>
        <w:ind w:left="405" w:hanging="360"/>
        <w:rPr>
          <w:rFonts w:ascii="Book Antiqua" w:eastAsiaTheme="minorHAnsi" w:hAnsi="Book Antiqua"/>
          <w:sz w:val="22"/>
        </w:rPr>
      </w:pPr>
    </w:p>
    <w:p w:rsidR="00F86089" w:rsidRPr="00F86089" w:rsidRDefault="00F86089" w:rsidP="00F86089">
      <w:pPr>
        <w:pStyle w:val="Odstavecseseznamem"/>
        <w:numPr>
          <w:ilvl w:val="0"/>
          <w:numId w:val="28"/>
        </w:numPr>
        <w:spacing w:after="160" w:line="256" w:lineRule="auto"/>
        <w:ind w:left="405"/>
        <w:rPr>
          <w:rFonts w:ascii="Book Antiqua" w:hAnsi="Book Antiqua"/>
        </w:rPr>
      </w:pPr>
      <w:r w:rsidRPr="00F86089">
        <w:rPr>
          <w:rFonts w:ascii="Book Antiqua" w:hAnsi="Book Antiqua"/>
        </w:rPr>
        <w:t>chybné číslování u variantního výroku III.</w:t>
      </w:r>
    </w:p>
    <w:p w:rsidR="00F86089" w:rsidRPr="00F86089" w:rsidRDefault="00F86089" w:rsidP="00F86089">
      <w:pPr>
        <w:pStyle w:val="Odstavecseseznamem"/>
        <w:spacing w:after="160" w:line="256" w:lineRule="auto"/>
        <w:ind w:left="405" w:hanging="360"/>
        <w:rPr>
          <w:rFonts w:ascii="Book Antiqua" w:hAnsi="Book Antiqua"/>
        </w:rPr>
      </w:pPr>
    </w:p>
    <w:p w:rsidR="00F86089" w:rsidRDefault="00F86089" w:rsidP="00F86089">
      <w:pPr>
        <w:pStyle w:val="Odstavecseseznamem"/>
        <w:numPr>
          <w:ilvl w:val="0"/>
          <w:numId w:val="28"/>
        </w:numPr>
        <w:spacing w:after="160" w:line="256" w:lineRule="auto"/>
        <w:ind w:left="405"/>
        <w:rPr>
          <w:rFonts w:ascii="Book Antiqua" w:hAnsi="Book Antiqua"/>
        </w:rPr>
      </w:pPr>
      <w:r w:rsidRPr="00F86089">
        <w:rPr>
          <w:rFonts w:ascii="Book Antiqua" w:hAnsi="Book Antiqua"/>
        </w:rPr>
        <w:t>poučení: pokud má být vyčíslena částka odpovídající dvojnásobku životního minima, měla by věta spíše znít: „Peněžní ústav vyplatí povinnému na jeho žádost peněžní prostředky do výše dvojnásobku životního minima jednotlivce, jež je dni vydání exekučního příkazu činí (</w:t>
      </w:r>
      <w:r w:rsidRPr="00F86089">
        <w:rPr>
          <w:rFonts w:ascii="Book Antiqua" w:hAnsi="Book Antiqua"/>
          <w:i/>
        </w:rPr>
        <w:t>výše dvojnásobku životního minima</w:t>
      </w:r>
      <w:r w:rsidRPr="00F86089">
        <w:rPr>
          <w:rFonts w:ascii="Book Antiqua" w:hAnsi="Book Antiqua"/>
        </w:rPr>
        <w:t>).“</w:t>
      </w:r>
    </w:p>
    <w:p w:rsidR="00F86089" w:rsidRDefault="00F86089" w:rsidP="00F86089">
      <w:pPr>
        <w:pStyle w:val="Odstavecseseznamem"/>
      </w:pPr>
    </w:p>
    <w:p w:rsidR="00F86089" w:rsidRPr="00F86089" w:rsidRDefault="00F86089" w:rsidP="00F86089">
      <w:pPr>
        <w:pStyle w:val="Odstavecseseznamem"/>
        <w:numPr>
          <w:ilvl w:val="0"/>
          <w:numId w:val="28"/>
        </w:numPr>
        <w:spacing w:after="160" w:line="256" w:lineRule="auto"/>
        <w:ind w:left="405"/>
        <w:rPr>
          <w:rFonts w:ascii="Book Antiqua" w:hAnsi="Book Antiqua"/>
        </w:rPr>
      </w:pPr>
      <w:r w:rsidRPr="00F86089">
        <w:rPr>
          <w:rFonts w:ascii="Book Antiqua" w:hAnsi="Book Antiqua"/>
        </w:rPr>
        <w:t>poučení o možnosti podat návrh na zastavení exekuce – bylo by vhodné uvést odkaz na zákonné ustanovení, podle něhož se manžel může zastavení domáhat (§ 262b OSŘ)</w:t>
      </w:r>
      <w:r w:rsidR="00D279AA">
        <w:rPr>
          <w:rFonts w:ascii="Book Antiqua" w:hAnsi="Book Antiqua"/>
        </w:rPr>
        <w:t xml:space="preserve">, absentuje specifické poučení dle § 262b </w:t>
      </w:r>
      <w:r w:rsidR="00D279AA" w:rsidRPr="00D279AA">
        <w:rPr>
          <w:rFonts w:ascii="Book Antiqua" w:hAnsi="Book Antiqua"/>
          <w:u w:val="single"/>
        </w:rPr>
        <w:t>odst. 2</w:t>
      </w:r>
      <w:r w:rsidR="00D279AA" w:rsidRPr="00D279AA">
        <w:rPr>
          <w:rFonts w:ascii="Book Antiqua" w:hAnsi="Book Antiqua"/>
        </w:rPr>
        <w:t xml:space="preserve"> OSŘ</w:t>
      </w:r>
      <w:r w:rsidR="00D279AA">
        <w:rPr>
          <w:rFonts w:ascii="Book Antiqua" w:hAnsi="Book Antiqua"/>
        </w:rPr>
        <w:t>.</w:t>
      </w:r>
    </w:p>
    <w:p w:rsidR="00F86089" w:rsidRDefault="00F86089" w:rsidP="00F86089">
      <w:pPr>
        <w:pStyle w:val="Odstavecseseznamem"/>
        <w:spacing w:after="160" w:line="256" w:lineRule="auto"/>
        <w:ind w:left="405" w:hanging="360"/>
        <w:rPr>
          <w:rFonts w:asciiTheme="minorHAnsi" w:eastAsiaTheme="minorHAnsi" w:hAnsiTheme="minorHAnsi"/>
          <w:sz w:val="22"/>
        </w:rPr>
      </w:pPr>
    </w:p>
    <w:p w:rsidR="00F86089" w:rsidRPr="00F86089" w:rsidRDefault="00F86089" w:rsidP="00F86089">
      <w:pPr>
        <w:pStyle w:val="Odstavecseseznamem"/>
        <w:numPr>
          <w:ilvl w:val="0"/>
          <w:numId w:val="28"/>
        </w:numPr>
        <w:spacing w:after="160" w:line="256" w:lineRule="auto"/>
        <w:ind w:left="405"/>
        <w:rPr>
          <w:rFonts w:ascii="Book Antiqua" w:hAnsi="Book Antiqua"/>
        </w:rPr>
      </w:pPr>
      <w:r w:rsidRPr="00F86089">
        <w:rPr>
          <w:rFonts w:ascii="Book Antiqua" w:hAnsi="Book Antiqua"/>
        </w:rPr>
        <w:t xml:space="preserve">na druhém listu nadepsaném jako „Další informace k exekučnímu řízení“ je pod bodem 3. uvedeno „V této exekuci </w:t>
      </w:r>
      <w:r w:rsidRPr="00B17EAC">
        <w:rPr>
          <w:rFonts w:ascii="Book Antiqua" w:hAnsi="Book Antiqua"/>
        </w:rPr>
        <w:t xml:space="preserve">musí </w:t>
      </w:r>
      <w:r w:rsidRPr="00B17EAC">
        <w:rPr>
          <w:rFonts w:ascii="Book Antiqua" w:hAnsi="Book Antiqua"/>
          <w:u w:val="single"/>
        </w:rPr>
        <w:t>manžel povinného</w:t>
      </w:r>
      <w:r w:rsidRPr="00B17EAC">
        <w:rPr>
          <w:rFonts w:ascii="Book Antiqua" w:hAnsi="Book Antiqua"/>
        </w:rPr>
        <w:t xml:space="preserve"> zaplatit minimálně částku uvedenou v řádku 11 tabulky č. 1.“ – tuto formulaci nelze považovat za vhodnou, jelikož se jedná o povinnost povinného, nikoliv jeho manžela; bylo by vhodnější větu přeformulovat např. takto: „V této exekuci </w:t>
      </w:r>
      <w:r w:rsidRPr="00B17EAC">
        <w:rPr>
          <w:rFonts w:ascii="Book Antiqua" w:hAnsi="Book Antiqua"/>
          <w:strike/>
        </w:rPr>
        <w:t>musí manžel povinného zaplatit</w:t>
      </w:r>
      <w:r w:rsidRPr="00B17EAC">
        <w:rPr>
          <w:rFonts w:ascii="Book Antiqua" w:hAnsi="Book Antiqua"/>
        </w:rPr>
        <w:t xml:space="preserve"> je vymáhána povinnost zaplatit minimálně částku uvedenou v řádku 11 tabulky č. 1.“; obdobně je tomu i v případě vyjádření</w:t>
      </w:r>
      <w:r w:rsidRPr="00F86089">
        <w:rPr>
          <w:rFonts w:ascii="Book Antiqua" w:hAnsi="Book Antiqua"/>
        </w:rPr>
        <w:t xml:space="preserve"> toho, jakými způsoby může manžel povinného vymáhanou povinnost exekutorovi uhradit</w:t>
      </w:r>
    </w:p>
    <w:p w:rsidR="003C330E" w:rsidRPr="00B17EAC" w:rsidRDefault="003C330E" w:rsidP="00B17EAC">
      <w:pPr>
        <w:rPr>
          <w:rFonts w:ascii="Book Antiqua" w:hAnsi="Book Antiqua"/>
        </w:rPr>
      </w:pPr>
    </w:p>
    <w:p w:rsidR="003C330E" w:rsidRDefault="003C330E" w:rsidP="003C330E">
      <w:pPr>
        <w:pStyle w:val="Odstavecseseznamem"/>
        <w:numPr>
          <w:ilvl w:val="0"/>
          <w:numId w:val="13"/>
        </w:numPr>
        <w:rPr>
          <w:rFonts w:ascii="Book Antiqua" w:hAnsi="Book Antiqua"/>
          <w:u w:val="single"/>
        </w:rPr>
      </w:pPr>
      <w:r w:rsidRPr="00B262F0">
        <w:rPr>
          <w:rFonts w:ascii="Book Antiqua" w:hAnsi="Book Antiqua"/>
          <w:u w:val="single"/>
        </w:rPr>
        <w:t>Ke vzoru EP – JPP</w:t>
      </w:r>
    </w:p>
    <w:p w:rsidR="00B262F0" w:rsidRPr="00B262F0" w:rsidRDefault="00B262F0" w:rsidP="00B262F0">
      <w:pPr>
        <w:pStyle w:val="Odstavecseseznamem"/>
        <w:ind w:left="1080"/>
        <w:rPr>
          <w:rFonts w:ascii="Book Antiqua" w:hAnsi="Book Antiqua"/>
          <w:u w:val="single"/>
        </w:rPr>
      </w:pPr>
    </w:p>
    <w:p w:rsidR="004C5181" w:rsidRPr="004C5181" w:rsidRDefault="004C5181" w:rsidP="004C5181">
      <w:pPr>
        <w:pStyle w:val="Odstavecseseznamem"/>
        <w:numPr>
          <w:ilvl w:val="0"/>
          <w:numId w:val="8"/>
        </w:numPr>
        <w:rPr>
          <w:rFonts w:ascii="Book Antiqua" w:hAnsi="Book Antiqua"/>
        </w:rPr>
      </w:pPr>
      <w:r w:rsidRPr="004C5181">
        <w:rPr>
          <w:rFonts w:ascii="Book Antiqua" w:hAnsi="Book Antiqua"/>
        </w:rPr>
        <w:t>údaj o právním zastoupení (u POV i OPR) by měl být v záhlaví v druhém a nikoliv prvním sloupci, který pouze identifikuje údaj uvedený v řádku</w:t>
      </w:r>
    </w:p>
    <w:p w:rsidR="004C5181" w:rsidRPr="0040737C" w:rsidRDefault="004C5181" w:rsidP="004C5181">
      <w:pPr>
        <w:pStyle w:val="Odstavecseseznamem"/>
        <w:ind w:left="405"/>
        <w:rPr>
          <w:rFonts w:ascii="Book Antiqua" w:hAnsi="Book Antiqua"/>
        </w:rPr>
      </w:pPr>
    </w:p>
    <w:p w:rsidR="004C5181" w:rsidRPr="004C5181" w:rsidRDefault="004C5181" w:rsidP="004C5181">
      <w:pPr>
        <w:pStyle w:val="Odstavecseseznamem"/>
        <w:numPr>
          <w:ilvl w:val="0"/>
          <w:numId w:val="8"/>
        </w:numPr>
        <w:spacing w:after="160" w:line="259" w:lineRule="auto"/>
        <w:rPr>
          <w:rFonts w:ascii="Book Antiqua" w:hAnsi="Book Antiqua"/>
        </w:rPr>
      </w:pPr>
      <w:r>
        <w:rPr>
          <w:rFonts w:ascii="Book Antiqua" w:hAnsi="Book Antiqua"/>
        </w:rPr>
        <w:t>p</w:t>
      </w:r>
      <w:r w:rsidRPr="004C5181">
        <w:rPr>
          <w:rFonts w:ascii="Book Antiqua" w:hAnsi="Book Antiqua"/>
        </w:rPr>
        <w:t>oučení slovy zákona (§ 48 písm. h) by mělo být o odvolání ne o všeobecném opravném prostředku, tj.: Proti exekučnímu příkazu není přípustné odvolání.</w:t>
      </w:r>
    </w:p>
    <w:p w:rsidR="004C5181" w:rsidRPr="009669BB" w:rsidRDefault="004C5181" w:rsidP="004C5181">
      <w:pPr>
        <w:pStyle w:val="Odstavecseseznamem"/>
        <w:rPr>
          <w:rFonts w:ascii="Book Antiqua" w:hAnsi="Book Antiqua"/>
        </w:rPr>
      </w:pPr>
    </w:p>
    <w:p w:rsidR="004C5181" w:rsidRPr="004C5181" w:rsidRDefault="004C5181" w:rsidP="004C5181">
      <w:pPr>
        <w:pStyle w:val="Odstavecseseznamem"/>
        <w:numPr>
          <w:ilvl w:val="0"/>
          <w:numId w:val="8"/>
        </w:numPr>
        <w:spacing w:after="160" w:line="259" w:lineRule="auto"/>
        <w:rPr>
          <w:rFonts w:ascii="Book Antiqua" w:hAnsi="Book Antiqua"/>
        </w:rPr>
      </w:pPr>
      <w:r>
        <w:rPr>
          <w:rFonts w:ascii="Book Antiqua" w:hAnsi="Book Antiqua"/>
        </w:rPr>
        <w:t>v</w:t>
      </w:r>
      <w:r w:rsidRPr="004C5181">
        <w:rPr>
          <w:rFonts w:ascii="Book Antiqua" w:hAnsi="Book Antiqua"/>
        </w:rPr>
        <w:t xml:space="preserve">ýroky by zásadně neměly být celé tučné! Tučně zvýrazněná má být část jako: zakazuje se, ukládá se apod. </w:t>
      </w:r>
    </w:p>
    <w:p w:rsidR="004C5181" w:rsidRPr="0040737C" w:rsidRDefault="004C5181" w:rsidP="004C5181">
      <w:pPr>
        <w:pStyle w:val="Odstavecseseznamem"/>
        <w:rPr>
          <w:rFonts w:ascii="Book Antiqua" w:hAnsi="Book Antiqua"/>
        </w:rPr>
      </w:pPr>
    </w:p>
    <w:p w:rsidR="004C5181" w:rsidRDefault="004C5181" w:rsidP="004C5181">
      <w:pPr>
        <w:pStyle w:val="Odstavecseseznamem"/>
        <w:numPr>
          <w:ilvl w:val="0"/>
          <w:numId w:val="8"/>
        </w:numPr>
        <w:spacing w:after="160" w:line="259" w:lineRule="auto"/>
        <w:rPr>
          <w:rFonts w:ascii="Book Antiqua" w:hAnsi="Book Antiqua"/>
        </w:rPr>
      </w:pPr>
      <w:r>
        <w:rPr>
          <w:rFonts w:ascii="Book Antiqua" w:hAnsi="Book Antiqua"/>
        </w:rPr>
        <w:t xml:space="preserve">v sekci </w:t>
      </w:r>
      <w:r w:rsidRPr="004C5181">
        <w:rPr>
          <w:rFonts w:ascii="Book Antiqua" w:hAnsi="Book Antiqua"/>
        </w:rPr>
        <w:t xml:space="preserve">Další informace navrhujeme vypustit bod 3. Vyčíslení vymáhané povinnosti v EP by (s ohledem na podrobné informace ve Výzvě a VYZE) postačovalo </w:t>
      </w:r>
      <w:r w:rsidRPr="004C5181">
        <w:rPr>
          <w:rFonts w:ascii="Book Antiqua" w:hAnsi="Book Antiqua"/>
          <w:b/>
        </w:rPr>
        <w:t>pouze 1 souhrnnou částkou</w:t>
      </w:r>
      <w:r w:rsidRPr="004C5181">
        <w:rPr>
          <w:rFonts w:ascii="Book Antiqua" w:hAnsi="Book Antiqua"/>
        </w:rPr>
        <w:t>. Tím spíše to platí pro tabulku číslo 2 zde, platí navíc i to, co je uvedeno v připomínkách k</w:t>
      </w:r>
      <w:r>
        <w:rPr>
          <w:rFonts w:ascii="Book Antiqua" w:hAnsi="Book Antiqua"/>
        </w:rPr>
        <w:t> </w:t>
      </w:r>
      <w:r w:rsidRPr="004C5181">
        <w:rPr>
          <w:rFonts w:ascii="Book Antiqua" w:hAnsi="Book Antiqua"/>
        </w:rPr>
        <w:t>Výzvě</w:t>
      </w:r>
    </w:p>
    <w:p w:rsidR="004C5181" w:rsidRDefault="004C5181" w:rsidP="004C5181">
      <w:pPr>
        <w:pStyle w:val="Odstavecseseznamem"/>
        <w:rPr>
          <w:rFonts w:ascii="Book Antiqua" w:hAnsi="Book Antiqua"/>
        </w:rPr>
      </w:pPr>
    </w:p>
    <w:p w:rsidR="004C5181" w:rsidRDefault="004C5181" w:rsidP="004C5181">
      <w:pPr>
        <w:pStyle w:val="Odstavecseseznamem"/>
        <w:numPr>
          <w:ilvl w:val="0"/>
          <w:numId w:val="8"/>
        </w:numPr>
        <w:spacing w:after="160" w:line="259" w:lineRule="auto"/>
        <w:rPr>
          <w:rFonts w:ascii="Book Antiqua" w:hAnsi="Book Antiqua"/>
        </w:rPr>
      </w:pPr>
      <w:r>
        <w:rPr>
          <w:rFonts w:ascii="Book Antiqua" w:hAnsi="Book Antiqua"/>
        </w:rPr>
        <w:t>V</w:t>
      </w:r>
      <w:r w:rsidRPr="00637748">
        <w:rPr>
          <w:rFonts w:ascii="Book Antiqua" w:hAnsi="Book Antiqua"/>
        </w:rPr>
        <w:t xml:space="preserve"> úvodní tabulce je zcela zbytečné duplicitně uvádět označení </w:t>
      </w:r>
      <w:r>
        <w:rPr>
          <w:rFonts w:ascii="Book Antiqua" w:hAnsi="Book Antiqua"/>
        </w:rPr>
        <w:t>pohledávky - toto je již ve výrocích.</w:t>
      </w:r>
    </w:p>
    <w:p w:rsidR="004C5181" w:rsidRPr="004C5181" w:rsidRDefault="004C5181" w:rsidP="004C5181">
      <w:pPr>
        <w:pStyle w:val="Odstavecseseznamem"/>
        <w:rPr>
          <w:rFonts w:ascii="Book Antiqua" w:hAnsi="Book Antiqua"/>
        </w:rPr>
      </w:pPr>
    </w:p>
    <w:p w:rsidR="004C5181" w:rsidRDefault="004C5181" w:rsidP="004C5181">
      <w:pPr>
        <w:pStyle w:val="Odstavecseseznamem"/>
        <w:numPr>
          <w:ilvl w:val="0"/>
          <w:numId w:val="8"/>
        </w:numPr>
        <w:spacing w:after="160" w:line="259" w:lineRule="auto"/>
        <w:rPr>
          <w:rFonts w:ascii="Book Antiqua" w:hAnsi="Book Antiqua"/>
        </w:rPr>
      </w:pPr>
      <w:r>
        <w:rPr>
          <w:rFonts w:ascii="Book Antiqua" w:hAnsi="Book Antiqua"/>
        </w:rPr>
        <w:t>Šestý řádek úvodní tabulky by bylo vhodnější zakomponovat přímo do výroků</w:t>
      </w:r>
    </w:p>
    <w:p w:rsidR="003C330E" w:rsidRPr="004C5181" w:rsidRDefault="003C330E" w:rsidP="004C5181">
      <w:pPr>
        <w:rPr>
          <w:rFonts w:ascii="Book Antiqua" w:hAnsi="Book Antiqua"/>
        </w:rPr>
      </w:pPr>
    </w:p>
    <w:p w:rsidR="003C330E" w:rsidRPr="004C5181" w:rsidRDefault="003C330E" w:rsidP="003C330E">
      <w:pPr>
        <w:pStyle w:val="Odstavecseseznamem"/>
        <w:numPr>
          <w:ilvl w:val="0"/>
          <w:numId w:val="13"/>
        </w:numPr>
        <w:rPr>
          <w:rFonts w:ascii="Book Antiqua" w:hAnsi="Book Antiqua"/>
          <w:u w:val="single"/>
        </w:rPr>
      </w:pPr>
      <w:r w:rsidRPr="004C5181">
        <w:rPr>
          <w:rFonts w:ascii="Book Antiqua" w:hAnsi="Book Antiqua"/>
          <w:u w:val="single"/>
        </w:rPr>
        <w:t>Ke vzoru EP – JMP – dodání věci</w:t>
      </w:r>
    </w:p>
    <w:p w:rsidR="003C330E" w:rsidRDefault="003C330E" w:rsidP="003C330E">
      <w:pPr>
        <w:pStyle w:val="Odstavecseseznamem"/>
        <w:rPr>
          <w:rFonts w:ascii="Book Antiqua" w:hAnsi="Book Antiqua"/>
        </w:rPr>
      </w:pPr>
    </w:p>
    <w:p w:rsidR="003C330E" w:rsidRDefault="003C330E" w:rsidP="003C330E">
      <w:pPr>
        <w:pStyle w:val="Odstavecseseznamem"/>
        <w:rPr>
          <w:rFonts w:ascii="Book Antiqua" w:hAnsi="Book Antiqua"/>
        </w:rPr>
      </w:pPr>
    </w:p>
    <w:p w:rsidR="004C5181" w:rsidRPr="004C5181" w:rsidRDefault="004C5181" w:rsidP="004C5181">
      <w:pPr>
        <w:pStyle w:val="Odstavecseseznamem"/>
        <w:numPr>
          <w:ilvl w:val="0"/>
          <w:numId w:val="8"/>
        </w:numPr>
        <w:rPr>
          <w:rFonts w:ascii="Book Antiqua" w:hAnsi="Book Antiqua"/>
        </w:rPr>
      </w:pPr>
      <w:r w:rsidRPr="004C5181">
        <w:rPr>
          <w:rFonts w:ascii="Book Antiqua" w:hAnsi="Book Antiqua"/>
        </w:rPr>
        <w:t>údaj o právním zastoupení (u POV i OPR) by měl být v záhlaví v druhém a nikoliv prvním sloupci, který pouze identifikuje údaj uvedený v řádku</w:t>
      </w:r>
    </w:p>
    <w:p w:rsidR="004C5181" w:rsidRPr="0040737C" w:rsidRDefault="004C5181" w:rsidP="004C5181">
      <w:pPr>
        <w:pStyle w:val="Odstavecseseznamem"/>
        <w:ind w:left="405"/>
        <w:rPr>
          <w:rFonts w:ascii="Book Antiqua" w:hAnsi="Book Antiqua"/>
        </w:rPr>
      </w:pPr>
    </w:p>
    <w:p w:rsidR="004C5181" w:rsidRPr="004C5181" w:rsidRDefault="004C5181" w:rsidP="004C5181">
      <w:pPr>
        <w:pStyle w:val="Odstavecseseznamem"/>
        <w:numPr>
          <w:ilvl w:val="0"/>
          <w:numId w:val="8"/>
        </w:numPr>
        <w:spacing w:after="160" w:line="259" w:lineRule="auto"/>
        <w:rPr>
          <w:rFonts w:ascii="Book Antiqua" w:hAnsi="Book Antiqua"/>
        </w:rPr>
      </w:pPr>
      <w:r>
        <w:rPr>
          <w:rFonts w:ascii="Book Antiqua" w:hAnsi="Book Antiqua"/>
        </w:rPr>
        <w:t>p</w:t>
      </w:r>
      <w:r w:rsidRPr="004C5181">
        <w:rPr>
          <w:rFonts w:ascii="Book Antiqua" w:hAnsi="Book Antiqua"/>
        </w:rPr>
        <w:t>oučení slovy zákona (§ 48 písm. h) by mělo být o odvolání ne o všeobecném opravném prostředku, tj.: Proti exekučnímu příkazu není přípustné odvolání.</w:t>
      </w:r>
    </w:p>
    <w:p w:rsidR="004C5181" w:rsidRPr="009669BB" w:rsidRDefault="004C5181" w:rsidP="004C5181">
      <w:pPr>
        <w:pStyle w:val="Odstavecseseznamem"/>
        <w:rPr>
          <w:rFonts w:ascii="Book Antiqua" w:hAnsi="Book Antiqua"/>
        </w:rPr>
      </w:pPr>
    </w:p>
    <w:p w:rsidR="004C5181" w:rsidRPr="004C5181" w:rsidRDefault="004C5181" w:rsidP="004C5181">
      <w:pPr>
        <w:pStyle w:val="Odstavecseseznamem"/>
        <w:numPr>
          <w:ilvl w:val="0"/>
          <w:numId w:val="8"/>
        </w:numPr>
        <w:spacing w:after="160" w:line="259" w:lineRule="auto"/>
        <w:rPr>
          <w:rFonts w:ascii="Book Antiqua" w:hAnsi="Book Antiqua"/>
        </w:rPr>
      </w:pPr>
      <w:r>
        <w:rPr>
          <w:rFonts w:ascii="Book Antiqua" w:hAnsi="Book Antiqua"/>
        </w:rPr>
        <w:t>v</w:t>
      </w:r>
      <w:r w:rsidRPr="004C5181">
        <w:rPr>
          <w:rFonts w:ascii="Book Antiqua" w:hAnsi="Book Antiqua"/>
        </w:rPr>
        <w:t xml:space="preserve">ýroky by zásadně neměly být celé tučné! Tučně zvýrazněná má být část jako: zakazuje se, ukládá se apod. </w:t>
      </w:r>
    </w:p>
    <w:p w:rsidR="004C5181" w:rsidRPr="0040737C" w:rsidRDefault="004C5181" w:rsidP="004C5181">
      <w:pPr>
        <w:pStyle w:val="Odstavecseseznamem"/>
        <w:rPr>
          <w:rFonts w:ascii="Book Antiqua" w:hAnsi="Book Antiqua"/>
        </w:rPr>
      </w:pPr>
    </w:p>
    <w:p w:rsidR="004C5181" w:rsidRDefault="004C5181" w:rsidP="004C5181">
      <w:pPr>
        <w:pStyle w:val="Odstavecseseznamem"/>
        <w:numPr>
          <w:ilvl w:val="0"/>
          <w:numId w:val="8"/>
        </w:numPr>
        <w:spacing w:after="160" w:line="259" w:lineRule="auto"/>
        <w:rPr>
          <w:rFonts w:ascii="Book Antiqua" w:hAnsi="Book Antiqua"/>
        </w:rPr>
      </w:pPr>
      <w:r>
        <w:rPr>
          <w:rFonts w:ascii="Book Antiqua" w:hAnsi="Book Antiqua"/>
        </w:rPr>
        <w:t xml:space="preserve">v sekci </w:t>
      </w:r>
      <w:r w:rsidRPr="004C5181">
        <w:rPr>
          <w:rFonts w:ascii="Book Antiqua" w:hAnsi="Book Antiqua"/>
        </w:rPr>
        <w:t xml:space="preserve">Další informace navrhujeme vypustit bod 3. Vyčíslení vymáhané povinnosti v EP by (s ohledem na podrobné informace ve Výzvě a VYZE) postačovalo </w:t>
      </w:r>
      <w:r w:rsidRPr="004C5181">
        <w:rPr>
          <w:rFonts w:ascii="Book Antiqua" w:hAnsi="Book Antiqua"/>
          <w:b/>
        </w:rPr>
        <w:t>pouze 1 souhrnnou částkou</w:t>
      </w:r>
      <w:r w:rsidRPr="004C5181">
        <w:rPr>
          <w:rFonts w:ascii="Book Antiqua" w:hAnsi="Book Antiqua"/>
        </w:rPr>
        <w:t>. Tím spíše to platí pro tabulku číslo 2 zde, platí navíc i to, co je uvedeno v připomínkách k</w:t>
      </w:r>
      <w:r>
        <w:rPr>
          <w:rFonts w:ascii="Book Antiqua" w:hAnsi="Book Antiqua"/>
        </w:rPr>
        <w:t> </w:t>
      </w:r>
      <w:r w:rsidRPr="004C5181">
        <w:rPr>
          <w:rFonts w:ascii="Book Antiqua" w:hAnsi="Book Antiqua"/>
        </w:rPr>
        <w:t>Výzvě</w:t>
      </w:r>
    </w:p>
    <w:p w:rsidR="004C5181" w:rsidRDefault="004C5181" w:rsidP="004C5181">
      <w:pPr>
        <w:pStyle w:val="Odstavecseseznamem"/>
        <w:rPr>
          <w:rFonts w:ascii="Book Antiqua" w:hAnsi="Book Antiqua"/>
        </w:rPr>
      </w:pPr>
    </w:p>
    <w:p w:rsidR="004C5181" w:rsidRDefault="004C5181" w:rsidP="004C5181">
      <w:pPr>
        <w:pStyle w:val="Odstavecseseznamem"/>
        <w:numPr>
          <w:ilvl w:val="0"/>
          <w:numId w:val="8"/>
        </w:numPr>
        <w:spacing w:after="160" w:line="259" w:lineRule="auto"/>
        <w:rPr>
          <w:rFonts w:ascii="Book Antiqua" w:hAnsi="Book Antiqua"/>
        </w:rPr>
      </w:pPr>
      <w:r>
        <w:rPr>
          <w:rFonts w:ascii="Book Antiqua" w:hAnsi="Book Antiqua"/>
        </w:rPr>
        <w:t>V</w:t>
      </w:r>
      <w:r w:rsidRPr="00637748">
        <w:rPr>
          <w:rFonts w:ascii="Book Antiqua" w:hAnsi="Book Antiqua"/>
        </w:rPr>
        <w:t xml:space="preserve"> úvodní tabulce je zcela zbytečné duplicitně uvádět označení </w:t>
      </w:r>
      <w:r>
        <w:rPr>
          <w:rFonts w:ascii="Book Antiqua" w:hAnsi="Book Antiqua"/>
        </w:rPr>
        <w:t>majetkového práva - toto je již ve výrocích.</w:t>
      </w:r>
    </w:p>
    <w:p w:rsidR="00B262F0" w:rsidRPr="00B262F0" w:rsidRDefault="00B262F0" w:rsidP="00B262F0">
      <w:pPr>
        <w:spacing w:after="160" w:line="259" w:lineRule="auto"/>
        <w:rPr>
          <w:rFonts w:ascii="Book Antiqua" w:hAnsi="Book Antiqua"/>
        </w:rPr>
      </w:pPr>
    </w:p>
    <w:p w:rsidR="003C330E" w:rsidRPr="00A71B07" w:rsidRDefault="003C330E" w:rsidP="003C330E">
      <w:pPr>
        <w:pStyle w:val="Odstavecseseznamem"/>
        <w:numPr>
          <w:ilvl w:val="0"/>
          <w:numId w:val="13"/>
        </w:numPr>
        <w:rPr>
          <w:rFonts w:ascii="Book Antiqua" w:hAnsi="Book Antiqua"/>
          <w:u w:val="single"/>
        </w:rPr>
      </w:pPr>
      <w:r w:rsidRPr="00A71B07">
        <w:rPr>
          <w:rFonts w:ascii="Book Antiqua" w:hAnsi="Book Antiqua"/>
          <w:u w:val="single"/>
        </w:rPr>
        <w:t>Ke vzoru EP – JMP – podíl I</w:t>
      </w:r>
    </w:p>
    <w:p w:rsidR="003C330E" w:rsidRDefault="003C330E" w:rsidP="003C330E">
      <w:pPr>
        <w:pStyle w:val="Odstavecseseznamem"/>
        <w:rPr>
          <w:rFonts w:ascii="Book Antiqua" w:hAnsi="Book Antiqua"/>
        </w:rPr>
      </w:pPr>
    </w:p>
    <w:p w:rsidR="009176C7" w:rsidRDefault="009176C7" w:rsidP="009176C7">
      <w:pPr>
        <w:pStyle w:val="Odstavecseseznamem"/>
        <w:numPr>
          <w:ilvl w:val="0"/>
          <w:numId w:val="8"/>
        </w:numPr>
        <w:rPr>
          <w:rFonts w:ascii="Book Antiqua" w:hAnsi="Book Antiqua"/>
        </w:rPr>
      </w:pPr>
      <w:r>
        <w:rPr>
          <w:rFonts w:ascii="Book Antiqua" w:hAnsi="Book Antiqua"/>
        </w:rPr>
        <w:t>Specifikace „</w:t>
      </w:r>
      <w:r w:rsidRPr="009176C7">
        <w:rPr>
          <w:rFonts w:ascii="Book Antiqua" w:hAnsi="Book Antiqua"/>
        </w:rPr>
        <w:t>(postižení účasti povinného ve veřejné obchodní společnosti, komplementáře v komanditní společnosti nebo účasti povinného ve společnosti s ručením omezeným, v družstvu a komanditisty v komanditní společnosti, není-li jejich podíl nebo družstevní podíl převoditelný)</w:t>
      </w:r>
      <w:r>
        <w:rPr>
          <w:rFonts w:ascii="Book Antiqua" w:hAnsi="Book Antiqua"/>
        </w:rPr>
        <w:t>“ je toliko informativní pro exekutory, neměla by být v textu samotného exekučního příkazu</w:t>
      </w:r>
    </w:p>
    <w:p w:rsidR="009176C7" w:rsidRPr="009176C7" w:rsidRDefault="009176C7" w:rsidP="009176C7">
      <w:pPr>
        <w:pStyle w:val="Odstavecseseznamem"/>
        <w:ind w:left="405"/>
        <w:rPr>
          <w:rFonts w:ascii="Book Antiqua" w:hAnsi="Book Antiqua"/>
        </w:rPr>
      </w:pPr>
    </w:p>
    <w:p w:rsidR="009669BB" w:rsidRPr="009669BB" w:rsidRDefault="009176C7" w:rsidP="009669BB">
      <w:pPr>
        <w:pStyle w:val="Odstavecseseznamem"/>
        <w:numPr>
          <w:ilvl w:val="0"/>
          <w:numId w:val="8"/>
        </w:numPr>
        <w:rPr>
          <w:rFonts w:ascii="Book Antiqua" w:hAnsi="Book Antiqua"/>
        </w:rPr>
      </w:pPr>
      <w:r w:rsidRPr="008C70B3">
        <w:rPr>
          <w:rFonts w:ascii="Book Antiqua" w:hAnsi="Book Antiqua"/>
        </w:rPr>
        <w:t>údaj o právním zastoupení (u POV i OPR) by měl být v záhlaví v druhém a nikoliv prvním sloupci, který pouze identifikuje údaj uvedený v</w:t>
      </w:r>
      <w:r w:rsidR="009669BB">
        <w:rPr>
          <w:rFonts w:ascii="Book Antiqua" w:hAnsi="Book Antiqua"/>
        </w:rPr>
        <w:t> </w:t>
      </w:r>
      <w:r w:rsidRPr="008C70B3">
        <w:rPr>
          <w:rFonts w:ascii="Book Antiqua" w:hAnsi="Book Antiqua"/>
        </w:rPr>
        <w:t>řádku</w:t>
      </w:r>
    </w:p>
    <w:p w:rsidR="009669BB" w:rsidRPr="009669BB" w:rsidRDefault="009669BB" w:rsidP="009669BB">
      <w:pPr>
        <w:pStyle w:val="Odstavecseseznamem"/>
        <w:ind w:left="405"/>
        <w:rPr>
          <w:rFonts w:ascii="Book Antiqua" w:hAnsi="Book Antiqua"/>
        </w:rPr>
      </w:pPr>
    </w:p>
    <w:p w:rsidR="009176C7" w:rsidRDefault="009176C7" w:rsidP="009176C7">
      <w:pPr>
        <w:pStyle w:val="Odstavecseseznamem"/>
        <w:numPr>
          <w:ilvl w:val="0"/>
          <w:numId w:val="8"/>
        </w:numPr>
        <w:rPr>
          <w:rFonts w:ascii="Book Antiqua" w:hAnsi="Book Antiqua"/>
        </w:rPr>
      </w:pPr>
      <w:r>
        <w:rPr>
          <w:rFonts w:ascii="Book Antiqua" w:hAnsi="Book Antiqua"/>
        </w:rPr>
        <w:t>chybí platební údaje pro poddlužníka</w:t>
      </w:r>
    </w:p>
    <w:p w:rsidR="009669BB" w:rsidRPr="009669BB" w:rsidRDefault="009669BB" w:rsidP="009669BB">
      <w:pPr>
        <w:pStyle w:val="Odstavecseseznamem"/>
        <w:rPr>
          <w:rFonts w:ascii="Book Antiqua" w:hAnsi="Book Antiqua"/>
        </w:rPr>
      </w:pPr>
    </w:p>
    <w:p w:rsidR="009669BB" w:rsidRDefault="009669BB" w:rsidP="009176C7">
      <w:pPr>
        <w:pStyle w:val="Odstavecseseznamem"/>
        <w:numPr>
          <w:ilvl w:val="0"/>
          <w:numId w:val="8"/>
        </w:numPr>
        <w:rPr>
          <w:rFonts w:ascii="Book Antiqua" w:hAnsi="Book Antiqua"/>
        </w:rPr>
      </w:pPr>
      <w:r>
        <w:rPr>
          <w:rFonts w:ascii="Book Antiqua" w:hAnsi="Book Antiqua"/>
        </w:rPr>
        <w:t>v bodě IV. jsou slova: „</w:t>
      </w:r>
      <w:r w:rsidRPr="00F54203">
        <w:rPr>
          <w:b/>
          <w:szCs w:val="24"/>
        </w:rPr>
        <w:t>okamžik</w:t>
      </w:r>
      <w:r>
        <w:rPr>
          <w:b/>
          <w:szCs w:val="24"/>
        </w:rPr>
        <w:t>em, kdy tato pohledávka vznikla</w:t>
      </w:r>
      <w:r>
        <w:rPr>
          <w:rFonts w:ascii="Book Antiqua" w:hAnsi="Book Antiqua"/>
        </w:rPr>
        <w:t xml:space="preserve">“ nadbytečná (viz § 313 odst. 3 OSŘ) </w:t>
      </w:r>
    </w:p>
    <w:p w:rsidR="009669BB" w:rsidRPr="009669BB" w:rsidRDefault="009669BB" w:rsidP="009669BB">
      <w:pPr>
        <w:pStyle w:val="Odstavecseseznamem"/>
        <w:rPr>
          <w:rFonts w:ascii="Book Antiqua" w:hAnsi="Book Antiqua"/>
        </w:rPr>
      </w:pPr>
    </w:p>
    <w:p w:rsidR="009669BB" w:rsidRDefault="009669BB" w:rsidP="009669BB">
      <w:pPr>
        <w:pStyle w:val="Odstavecseseznamem"/>
        <w:numPr>
          <w:ilvl w:val="0"/>
          <w:numId w:val="8"/>
        </w:numPr>
        <w:spacing w:after="160" w:line="259" w:lineRule="auto"/>
        <w:jc w:val="left"/>
        <w:rPr>
          <w:rFonts w:ascii="Book Antiqua" w:hAnsi="Book Antiqua"/>
        </w:rPr>
      </w:pPr>
      <w:r w:rsidRPr="009669BB">
        <w:rPr>
          <w:rFonts w:ascii="Book Antiqua" w:hAnsi="Book Antiqua"/>
        </w:rPr>
        <w:t>Poučení slovy zákona (§ 48 písm. h) by mělo být o odvolání ne o všeobecném opravném prostředku, tj.: Proti exekučnímu příkazu není přípustné odvolání.</w:t>
      </w:r>
    </w:p>
    <w:p w:rsidR="009669BB" w:rsidRPr="009669BB" w:rsidRDefault="009669BB" w:rsidP="009669BB">
      <w:pPr>
        <w:pStyle w:val="Odstavecseseznamem"/>
        <w:rPr>
          <w:rFonts w:ascii="Book Antiqua" w:hAnsi="Book Antiqua"/>
        </w:rPr>
      </w:pPr>
    </w:p>
    <w:p w:rsidR="009669BB" w:rsidRDefault="009669BB" w:rsidP="009669BB">
      <w:pPr>
        <w:pStyle w:val="Odstavecseseznamem"/>
        <w:numPr>
          <w:ilvl w:val="0"/>
          <w:numId w:val="8"/>
        </w:numPr>
        <w:spacing w:after="160" w:line="259" w:lineRule="auto"/>
        <w:jc w:val="left"/>
        <w:rPr>
          <w:rFonts w:ascii="Book Antiqua" w:hAnsi="Book Antiqua"/>
        </w:rPr>
      </w:pPr>
      <w:r w:rsidRPr="009669BB">
        <w:rPr>
          <w:rFonts w:ascii="Book Antiqua" w:hAnsi="Book Antiqua"/>
        </w:rPr>
        <w:t xml:space="preserve">Výroky by zásadně neměly být celé tučné! Tučně zvýrazněná má být část jako: zakazuje se, ukládá se apod. </w:t>
      </w:r>
    </w:p>
    <w:p w:rsidR="009669BB" w:rsidRPr="009669BB" w:rsidRDefault="009669BB" w:rsidP="009669BB">
      <w:pPr>
        <w:pStyle w:val="Odstavecseseznamem"/>
        <w:rPr>
          <w:rFonts w:ascii="Book Antiqua" w:hAnsi="Book Antiqua"/>
        </w:rPr>
      </w:pPr>
    </w:p>
    <w:p w:rsidR="003C330E" w:rsidRDefault="009669BB" w:rsidP="00A71B07">
      <w:pPr>
        <w:pStyle w:val="Odstavecseseznamem"/>
        <w:numPr>
          <w:ilvl w:val="0"/>
          <w:numId w:val="8"/>
        </w:numPr>
        <w:spacing w:after="160" w:line="259" w:lineRule="auto"/>
        <w:rPr>
          <w:rFonts w:ascii="Book Antiqua" w:hAnsi="Book Antiqua"/>
        </w:rPr>
      </w:pPr>
      <w:r>
        <w:rPr>
          <w:rFonts w:ascii="Book Antiqua" w:hAnsi="Book Antiqua"/>
        </w:rPr>
        <w:t xml:space="preserve">V sekci Další informace navrhujeme vypustit bod 3. Vyčíslení vymáhané povinnosti v EP by (s ohledem na podrobné informace ve Výzvě a VYZE) postačovalo </w:t>
      </w:r>
      <w:r w:rsidRPr="009669BB">
        <w:rPr>
          <w:rFonts w:ascii="Book Antiqua" w:hAnsi="Book Antiqua"/>
          <w:b/>
        </w:rPr>
        <w:t>pouze 1 souhrnnou částkou</w:t>
      </w:r>
      <w:r>
        <w:rPr>
          <w:rFonts w:ascii="Book Antiqua" w:hAnsi="Book Antiqua"/>
        </w:rPr>
        <w:t xml:space="preserve">. Tím spíše to platí pro tabulku číslo 2 zde, platí </w:t>
      </w:r>
      <w:r w:rsidRPr="009669BB">
        <w:rPr>
          <w:rFonts w:ascii="Book Antiqua" w:hAnsi="Book Antiqua"/>
        </w:rPr>
        <w:t xml:space="preserve">navíc </w:t>
      </w:r>
      <w:r>
        <w:rPr>
          <w:rFonts w:ascii="Book Antiqua" w:hAnsi="Book Antiqua"/>
        </w:rPr>
        <w:t xml:space="preserve">i </w:t>
      </w:r>
      <w:r w:rsidRPr="009669BB">
        <w:rPr>
          <w:rFonts w:ascii="Book Antiqua" w:hAnsi="Book Antiqua"/>
        </w:rPr>
        <w:t>to, co je uvedeno v připomínkách k</w:t>
      </w:r>
      <w:r w:rsidR="00A71B07">
        <w:rPr>
          <w:rFonts w:ascii="Book Antiqua" w:hAnsi="Book Antiqua"/>
        </w:rPr>
        <w:t> </w:t>
      </w:r>
      <w:r w:rsidRPr="009669BB">
        <w:rPr>
          <w:rFonts w:ascii="Book Antiqua" w:hAnsi="Book Antiqua"/>
        </w:rPr>
        <w:t>Výzvě</w:t>
      </w:r>
      <w:r w:rsidR="00A71B07">
        <w:rPr>
          <w:rFonts w:ascii="Book Antiqua" w:hAnsi="Book Antiqua"/>
        </w:rPr>
        <w:t>.</w:t>
      </w:r>
    </w:p>
    <w:p w:rsidR="00A71B07" w:rsidRPr="00A71B07" w:rsidRDefault="00A71B07" w:rsidP="00A71B07">
      <w:pPr>
        <w:pStyle w:val="Odstavecseseznamem"/>
        <w:rPr>
          <w:rFonts w:ascii="Book Antiqua" w:hAnsi="Book Antiqua"/>
        </w:rPr>
      </w:pPr>
    </w:p>
    <w:p w:rsidR="00A71B07" w:rsidRPr="00A71B07" w:rsidRDefault="00A71B07" w:rsidP="00A71B07">
      <w:pPr>
        <w:pStyle w:val="Odstavecseseznamem"/>
        <w:spacing w:after="160" w:line="259" w:lineRule="auto"/>
        <w:ind w:left="405"/>
        <w:rPr>
          <w:rFonts w:ascii="Book Antiqua" w:hAnsi="Book Antiqua"/>
        </w:rPr>
      </w:pPr>
    </w:p>
    <w:p w:rsidR="003C330E" w:rsidRPr="00A71B07" w:rsidRDefault="003C330E" w:rsidP="003C330E">
      <w:pPr>
        <w:pStyle w:val="Odstavecseseznamem"/>
        <w:numPr>
          <w:ilvl w:val="0"/>
          <w:numId w:val="13"/>
        </w:numPr>
        <w:rPr>
          <w:rFonts w:ascii="Book Antiqua" w:hAnsi="Book Antiqua"/>
          <w:u w:val="single"/>
        </w:rPr>
      </w:pPr>
      <w:r w:rsidRPr="00A71B07">
        <w:rPr>
          <w:rFonts w:ascii="Book Antiqua" w:hAnsi="Book Antiqua"/>
          <w:u w:val="single"/>
        </w:rPr>
        <w:t>Ke vzoru EP – JMP – podíl II</w:t>
      </w:r>
    </w:p>
    <w:p w:rsidR="003C330E" w:rsidRDefault="003C330E" w:rsidP="003C330E">
      <w:pPr>
        <w:pStyle w:val="Odstavecseseznamem"/>
        <w:rPr>
          <w:rFonts w:ascii="Book Antiqua" w:hAnsi="Book Antiqua"/>
        </w:rPr>
      </w:pPr>
    </w:p>
    <w:p w:rsidR="009669BB" w:rsidRPr="009669BB" w:rsidRDefault="009669BB" w:rsidP="009669BB">
      <w:pPr>
        <w:pStyle w:val="Odstavecseseznamem"/>
        <w:numPr>
          <w:ilvl w:val="0"/>
          <w:numId w:val="8"/>
        </w:numPr>
        <w:rPr>
          <w:rFonts w:ascii="Book Antiqua" w:hAnsi="Book Antiqua"/>
        </w:rPr>
      </w:pPr>
      <w:r>
        <w:rPr>
          <w:rFonts w:ascii="Book Antiqua" w:hAnsi="Book Antiqua"/>
        </w:rPr>
        <w:t xml:space="preserve">Specifikace </w:t>
      </w:r>
      <w:r w:rsidRPr="009669BB">
        <w:rPr>
          <w:rFonts w:ascii="Book Antiqua" w:hAnsi="Book Antiqua"/>
        </w:rPr>
        <w:t>„(postižení účasti povinného ve společnosti s ručením omezeným, v družstvu a komanditisty v koma</w:t>
      </w:r>
      <w:r>
        <w:rPr>
          <w:rFonts w:ascii="Book Antiqua" w:hAnsi="Book Antiqua"/>
        </w:rPr>
        <w:t xml:space="preserve">nditní společnosti, je-li podíl </w:t>
      </w:r>
      <w:r w:rsidRPr="009669BB">
        <w:rPr>
          <w:rFonts w:ascii="Book Antiqua" w:hAnsi="Book Antiqua"/>
        </w:rPr>
        <w:t>nebo družstevní podíl převoditelný)“ je toliko informativní pro exekutory, neměla by být v textu samotného exekučního příkazu</w:t>
      </w:r>
    </w:p>
    <w:p w:rsidR="009669BB" w:rsidRPr="009176C7" w:rsidRDefault="009669BB" w:rsidP="009669BB">
      <w:pPr>
        <w:pStyle w:val="Odstavecseseznamem"/>
        <w:ind w:left="405"/>
        <w:rPr>
          <w:rFonts w:ascii="Book Antiqua" w:hAnsi="Book Antiqua"/>
        </w:rPr>
      </w:pPr>
    </w:p>
    <w:p w:rsidR="009669BB" w:rsidRPr="009669BB" w:rsidRDefault="009669BB" w:rsidP="009669BB">
      <w:pPr>
        <w:pStyle w:val="Odstavecseseznamem"/>
        <w:numPr>
          <w:ilvl w:val="0"/>
          <w:numId w:val="8"/>
        </w:numPr>
        <w:rPr>
          <w:rFonts w:ascii="Book Antiqua" w:hAnsi="Book Antiqua"/>
        </w:rPr>
      </w:pPr>
      <w:r w:rsidRPr="008C70B3">
        <w:rPr>
          <w:rFonts w:ascii="Book Antiqua" w:hAnsi="Book Antiqua"/>
        </w:rPr>
        <w:t>údaj o právním zastoupení (u POV i OPR) by měl být v záhlaví v druhém a nikoliv prvním sloupci, který pouze identifikuje údaj uvedený v</w:t>
      </w:r>
      <w:r>
        <w:rPr>
          <w:rFonts w:ascii="Book Antiqua" w:hAnsi="Book Antiqua"/>
        </w:rPr>
        <w:t> </w:t>
      </w:r>
      <w:r w:rsidRPr="008C70B3">
        <w:rPr>
          <w:rFonts w:ascii="Book Antiqua" w:hAnsi="Book Antiqua"/>
        </w:rPr>
        <w:t>řádku</w:t>
      </w:r>
    </w:p>
    <w:p w:rsidR="009669BB" w:rsidRPr="009669BB" w:rsidRDefault="009669BB" w:rsidP="009669BB">
      <w:pPr>
        <w:pStyle w:val="Odstavecseseznamem"/>
        <w:ind w:left="405"/>
        <w:rPr>
          <w:rFonts w:ascii="Book Antiqua" w:hAnsi="Book Antiqua"/>
        </w:rPr>
      </w:pPr>
    </w:p>
    <w:p w:rsidR="009669BB" w:rsidRPr="009669BB" w:rsidRDefault="009669BB" w:rsidP="009669BB">
      <w:pPr>
        <w:pStyle w:val="Odstavecseseznamem"/>
        <w:numPr>
          <w:ilvl w:val="0"/>
          <w:numId w:val="8"/>
        </w:numPr>
        <w:rPr>
          <w:rFonts w:ascii="Book Antiqua" w:hAnsi="Book Antiqua"/>
        </w:rPr>
      </w:pPr>
      <w:r>
        <w:rPr>
          <w:rFonts w:ascii="Book Antiqua" w:hAnsi="Book Antiqua"/>
        </w:rPr>
        <w:t>chybí platební údaje pro poddlužníka (tyto jsou uvedeny explicitně pro povinného mimo EP až v sekci „Další informace“)</w:t>
      </w:r>
    </w:p>
    <w:p w:rsidR="009669BB" w:rsidRPr="009669BB" w:rsidRDefault="009669BB" w:rsidP="009669BB">
      <w:pPr>
        <w:pStyle w:val="Odstavecseseznamem"/>
        <w:ind w:left="405"/>
        <w:rPr>
          <w:rFonts w:ascii="Book Antiqua" w:hAnsi="Book Antiqua"/>
        </w:rPr>
      </w:pPr>
    </w:p>
    <w:p w:rsidR="009669BB" w:rsidRDefault="009669BB" w:rsidP="009669BB">
      <w:pPr>
        <w:pStyle w:val="Odstavecseseznamem"/>
        <w:numPr>
          <w:ilvl w:val="0"/>
          <w:numId w:val="8"/>
        </w:numPr>
        <w:spacing w:after="160" w:line="259" w:lineRule="auto"/>
        <w:jc w:val="left"/>
        <w:rPr>
          <w:rFonts w:ascii="Book Antiqua" w:hAnsi="Book Antiqua"/>
        </w:rPr>
      </w:pPr>
      <w:r w:rsidRPr="009669BB">
        <w:rPr>
          <w:rFonts w:ascii="Book Antiqua" w:hAnsi="Book Antiqua"/>
        </w:rPr>
        <w:t>Poučení slovy zákona (§ 48 písm. h) by mělo být o odvolání ne o všeobecném opravném prostředku, tj.: Proti exekučnímu příkazu není přípustné odvolání.</w:t>
      </w:r>
    </w:p>
    <w:p w:rsidR="009669BB" w:rsidRPr="009669BB" w:rsidRDefault="009669BB" w:rsidP="009669BB">
      <w:pPr>
        <w:pStyle w:val="Odstavecseseznamem"/>
        <w:rPr>
          <w:rFonts w:ascii="Book Antiqua" w:hAnsi="Book Antiqua"/>
        </w:rPr>
      </w:pPr>
    </w:p>
    <w:p w:rsidR="009669BB" w:rsidRPr="009669BB" w:rsidRDefault="009669BB" w:rsidP="009669BB">
      <w:pPr>
        <w:pStyle w:val="Odstavecseseznamem"/>
        <w:numPr>
          <w:ilvl w:val="0"/>
          <w:numId w:val="8"/>
        </w:numPr>
        <w:spacing w:after="160" w:line="259" w:lineRule="auto"/>
        <w:jc w:val="left"/>
        <w:rPr>
          <w:rFonts w:ascii="Book Antiqua" w:hAnsi="Book Antiqua"/>
        </w:rPr>
      </w:pPr>
      <w:r w:rsidRPr="009669BB">
        <w:rPr>
          <w:rFonts w:ascii="Book Antiqua" w:hAnsi="Book Antiqua"/>
        </w:rPr>
        <w:t xml:space="preserve">Výroky by zásadně neměly být celé tučné! Tučně zvýrazněná má být část jako: zakazuje se, ukládá se apod. </w:t>
      </w:r>
    </w:p>
    <w:p w:rsidR="003C330E" w:rsidRDefault="003C330E" w:rsidP="003C330E">
      <w:pPr>
        <w:pStyle w:val="Odstavecseseznamem"/>
        <w:rPr>
          <w:rFonts w:ascii="Book Antiqua" w:hAnsi="Book Antiqua"/>
        </w:rPr>
      </w:pPr>
    </w:p>
    <w:p w:rsidR="009669BB" w:rsidRDefault="009669BB" w:rsidP="009669BB">
      <w:pPr>
        <w:pStyle w:val="Odstavecseseznamem"/>
        <w:numPr>
          <w:ilvl w:val="0"/>
          <w:numId w:val="8"/>
        </w:numPr>
        <w:spacing w:after="160" w:line="259" w:lineRule="auto"/>
        <w:rPr>
          <w:rFonts w:ascii="Book Antiqua" w:hAnsi="Book Antiqua"/>
        </w:rPr>
      </w:pPr>
      <w:r w:rsidRPr="009669BB">
        <w:rPr>
          <w:rFonts w:ascii="Book Antiqua" w:hAnsi="Book Antiqua"/>
        </w:rPr>
        <w:t xml:space="preserve">Výrok III. není vzhledem k použité větné skladbě dobře srozumitelný. Přeformulovat lze: [Podíl – Družstevní podíl] povinného bude prodán v dražbě po doručení vyrozumění o tom, že do rejstříku zahájených exekucí byla zaspána doložka provedení exekuce a že tento exekuční příkaz nabyl právní moci. </w:t>
      </w:r>
    </w:p>
    <w:p w:rsidR="006A6FB6" w:rsidRPr="006A6FB6" w:rsidRDefault="006A6FB6" w:rsidP="006A6FB6">
      <w:pPr>
        <w:pStyle w:val="Odstavecseseznamem"/>
        <w:rPr>
          <w:rFonts w:ascii="Book Antiqua" w:hAnsi="Book Antiqua"/>
        </w:rPr>
      </w:pPr>
    </w:p>
    <w:p w:rsidR="006A6FB6" w:rsidRPr="009669BB" w:rsidRDefault="006A6FB6" w:rsidP="006A6FB6">
      <w:pPr>
        <w:pStyle w:val="Odstavecseseznamem"/>
        <w:numPr>
          <w:ilvl w:val="0"/>
          <w:numId w:val="8"/>
        </w:numPr>
        <w:spacing w:after="160" w:line="259" w:lineRule="auto"/>
        <w:rPr>
          <w:rFonts w:ascii="Book Antiqua" w:hAnsi="Book Antiqua"/>
        </w:rPr>
      </w:pPr>
      <w:r>
        <w:rPr>
          <w:rFonts w:ascii="Book Antiqua" w:hAnsi="Book Antiqua"/>
        </w:rPr>
        <w:t xml:space="preserve">V sekci Další informace navrhujeme vypustit bod 3. Vyčíslení vymáhané povinnosti v EP by (s ohledem na podrobné informace ve Výzvě a VYZE) postačovalo </w:t>
      </w:r>
      <w:r w:rsidRPr="009669BB">
        <w:rPr>
          <w:rFonts w:ascii="Book Antiqua" w:hAnsi="Book Antiqua"/>
          <w:b/>
        </w:rPr>
        <w:t>pouze 1 souhrnnou částkou</w:t>
      </w:r>
      <w:r>
        <w:rPr>
          <w:rFonts w:ascii="Book Antiqua" w:hAnsi="Book Antiqua"/>
        </w:rPr>
        <w:t xml:space="preserve">. Tím spíše to platí pro tabulku číslo 2 zde, platí </w:t>
      </w:r>
      <w:r w:rsidRPr="009669BB">
        <w:rPr>
          <w:rFonts w:ascii="Book Antiqua" w:hAnsi="Book Antiqua"/>
        </w:rPr>
        <w:t xml:space="preserve">navíc </w:t>
      </w:r>
      <w:r>
        <w:rPr>
          <w:rFonts w:ascii="Book Antiqua" w:hAnsi="Book Antiqua"/>
        </w:rPr>
        <w:t xml:space="preserve">i </w:t>
      </w:r>
      <w:r w:rsidRPr="009669BB">
        <w:rPr>
          <w:rFonts w:ascii="Book Antiqua" w:hAnsi="Book Antiqua"/>
        </w:rPr>
        <w:t>to, co je uvedeno v připomínkách k Výzvě</w:t>
      </w:r>
    </w:p>
    <w:p w:rsidR="003C330E" w:rsidRPr="006A6FB6" w:rsidRDefault="006A6FB6" w:rsidP="006A6FB6">
      <w:pPr>
        <w:pStyle w:val="Odstavecseseznamem"/>
        <w:spacing w:after="160" w:line="259" w:lineRule="auto"/>
        <w:ind w:left="405"/>
        <w:jc w:val="left"/>
        <w:rPr>
          <w:rFonts w:ascii="Book Antiqua" w:hAnsi="Book Antiqua"/>
        </w:rPr>
      </w:pPr>
      <w:r w:rsidRPr="009669BB">
        <w:rPr>
          <w:rFonts w:ascii="Book Antiqua" w:hAnsi="Book Antiqua"/>
        </w:rPr>
        <w:t xml:space="preserve"> </w:t>
      </w:r>
    </w:p>
    <w:p w:rsidR="003C330E" w:rsidRPr="00950DE2" w:rsidRDefault="003C330E" w:rsidP="003C330E">
      <w:pPr>
        <w:pStyle w:val="Odstavecseseznamem"/>
        <w:numPr>
          <w:ilvl w:val="0"/>
          <w:numId w:val="13"/>
        </w:numPr>
        <w:rPr>
          <w:rFonts w:ascii="Book Antiqua" w:hAnsi="Book Antiqua"/>
          <w:u w:val="single"/>
        </w:rPr>
      </w:pPr>
      <w:r w:rsidRPr="00950DE2">
        <w:rPr>
          <w:rFonts w:ascii="Book Antiqua" w:hAnsi="Book Antiqua"/>
          <w:u w:val="single"/>
        </w:rPr>
        <w:t>Ke vzoru EP – MV</w:t>
      </w:r>
    </w:p>
    <w:p w:rsidR="003C330E" w:rsidRDefault="003C330E" w:rsidP="003C330E">
      <w:pPr>
        <w:pStyle w:val="Odstavecseseznamem"/>
        <w:rPr>
          <w:rFonts w:ascii="Book Antiqua" w:hAnsi="Book Antiqua"/>
        </w:rPr>
      </w:pPr>
    </w:p>
    <w:p w:rsidR="003C330E" w:rsidRDefault="003C330E" w:rsidP="003C330E">
      <w:pPr>
        <w:pStyle w:val="Odstavecseseznamem"/>
        <w:rPr>
          <w:rFonts w:ascii="Book Antiqua" w:hAnsi="Book Antiqua"/>
        </w:rPr>
      </w:pPr>
    </w:p>
    <w:p w:rsidR="0040737C" w:rsidRPr="0040737C" w:rsidRDefault="0040737C" w:rsidP="00D066C8">
      <w:pPr>
        <w:pStyle w:val="Odstavecseseznamem"/>
        <w:numPr>
          <w:ilvl w:val="0"/>
          <w:numId w:val="8"/>
        </w:numPr>
        <w:spacing w:after="160" w:line="259" w:lineRule="auto"/>
        <w:rPr>
          <w:rFonts w:ascii="Book Antiqua" w:hAnsi="Book Antiqua"/>
          <w:szCs w:val="24"/>
        </w:rPr>
      </w:pPr>
      <w:r>
        <w:rPr>
          <w:rFonts w:ascii="Book Antiqua" w:hAnsi="Book Antiqua"/>
          <w:szCs w:val="24"/>
        </w:rPr>
        <w:t>Věta druhá v</w:t>
      </w:r>
      <w:r w:rsidRPr="0040737C">
        <w:rPr>
          <w:rFonts w:ascii="Book Antiqua" w:hAnsi="Book Antiqua"/>
          <w:szCs w:val="24"/>
        </w:rPr>
        <w:t>ýrok I</w:t>
      </w:r>
      <w:r>
        <w:rPr>
          <w:rFonts w:ascii="Book Antiqua" w:hAnsi="Book Antiqua"/>
          <w:szCs w:val="24"/>
        </w:rPr>
        <w:t>I</w:t>
      </w:r>
      <w:r w:rsidRPr="0040737C">
        <w:rPr>
          <w:rFonts w:ascii="Book Antiqua" w:hAnsi="Book Antiqua"/>
          <w:szCs w:val="24"/>
        </w:rPr>
        <w:t xml:space="preserve">. by </w:t>
      </w:r>
      <w:r>
        <w:rPr>
          <w:rFonts w:ascii="Book Antiqua" w:hAnsi="Book Antiqua"/>
          <w:szCs w:val="24"/>
        </w:rPr>
        <w:t xml:space="preserve">měla být zakomponována do výroku I. </w:t>
      </w:r>
    </w:p>
    <w:p w:rsidR="0040737C" w:rsidRPr="0040737C" w:rsidRDefault="0040737C" w:rsidP="00D066C8">
      <w:pPr>
        <w:pStyle w:val="Odstavecseseznamem"/>
        <w:spacing w:after="160" w:line="259" w:lineRule="auto"/>
        <w:ind w:left="405"/>
        <w:rPr>
          <w:rFonts w:ascii="Book Antiqua" w:hAnsi="Book Antiqua"/>
          <w:szCs w:val="24"/>
        </w:rPr>
      </w:pPr>
    </w:p>
    <w:p w:rsidR="0040737C" w:rsidRDefault="0040737C" w:rsidP="00D066C8">
      <w:pPr>
        <w:pStyle w:val="Odstavecseseznamem"/>
        <w:numPr>
          <w:ilvl w:val="0"/>
          <w:numId w:val="8"/>
        </w:numPr>
        <w:spacing w:after="160" w:line="259" w:lineRule="auto"/>
        <w:rPr>
          <w:rFonts w:ascii="Book Antiqua" w:hAnsi="Book Antiqua"/>
          <w:szCs w:val="24"/>
        </w:rPr>
      </w:pPr>
      <w:r w:rsidRPr="0040737C">
        <w:rPr>
          <w:rFonts w:ascii="Book Antiqua" w:hAnsi="Book Antiqua"/>
          <w:szCs w:val="24"/>
        </w:rPr>
        <w:t>Informace na konci o otisku razítka a podpisu soudního exekutora je napsána jiným fontem (Times New Roman) než zbytek textu (Garamond)</w:t>
      </w:r>
    </w:p>
    <w:p w:rsidR="0040737C" w:rsidRPr="0040737C" w:rsidRDefault="0040737C" w:rsidP="00D066C8">
      <w:pPr>
        <w:pStyle w:val="Odstavecseseznamem"/>
        <w:rPr>
          <w:rFonts w:ascii="Book Antiqua" w:hAnsi="Book Antiqua"/>
          <w:szCs w:val="24"/>
        </w:rPr>
      </w:pPr>
    </w:p>
    <w:p w:rsidR="0040737C" w:rsidRDefault="0040737C" w:rsidP="00D066C8">
      <w:pPr>
        <w:pStyle w:val="Odstavecseseznamem"/>
        <w:numPr>
          <w:ilvl w:val="0"/>
          <w:numId w:val="8"/>
        </w:numPr>
        <w:spacing w:after="160" w:line="259" w:lineRule="auto"/>
        <w:rPr>
          <w:rFonts w:ascii="Book Antiqua" w:hAnsi="Book Antiqua"/>
          <w:szCs w:val="24"/>
        </w:rPr>
      </w:pPr>
      <w:r>
        <w:rPr>
          <w:rFonts w:ascii="Book Antiqua" w:hAnsi="Book Antiqua"/>
          <w:szCs w:val="24"/>
        </w:rPr>
        <w:t xml:space="preserve">V sekci „Další informace“ je poučení o možnosti brojit proti soupisu zmatečné. Navrhujeme srozumitelně uvést informace o možnosti podat návrh na vyškrtnutí (o žalobě na vyloučení se navrhovatel dozví z rozhodnutí o vyškrtnutí – je proto předčasné); v této sekci by také mohlo být </w:t>
      </w:r>
      <w:r w:rsidRPr="0040737C">
        <w:rPr>
          <w:rFonts w:ascii="Book Antiqua" w:hAnsi="Book Antiqua"/>
          <w:szCs w:val="24"/>
        </w:rPr>
        <w:t xml:space="preserve">uvedeno </w:t>
      </w:r>
      <w:r>
        <w:rPr>
          <w:rFonts w:ascii="Book Antiqua" w:hAnsi="Book Antiqua"/>
          <w:szCs w:val="24"/>
        </w:rPr>
        <w:t>„</w:t>
      </w:r>
      <w:r w:rsidRPr="0040737C">
        <w:rPr>
          <w:rFonts w:ascii="Book Antiqua" w:hAnsi="Book Antiqua"/>
          <w:szCs w:val="24"/>
        </w:rPr>
        <w:t>poučení</w:t>
      </w:r>
      <w:r>
        <w:rPr>
          <w:rFonts w:ascii="Book Antiqua" w:hAnsi="Book Antiqua"/>
          <w:szCs w:val="24"/>
        </w:rPr>
        <w:t>“</w:t>
      </w:r>
      <w:r w:rsidRPr="0040737C">
        <w:rPr>
          <w:rFonts w:ascii="Book Antiqua" w:hAnsi="Book Antiqua"/>
          <w:szCs w:val="24"/>
        </w:rPr>
        <w:t xml:space="preserve"> o pořizování audiovizuálního záznamu při provádění prohlídky bytu povinného.</w:t>
      </w:r>
    </w:p>
    <w:p w:rsidR="00292747" w:rsidRPr="00292747" w:rsidRDefault="00292747" w:rsidP="00292747">
      <w:pPr>
        <w:pStyle w:val="Odstavecseseznamem"/>
        <w:rPr>
          <w:rFonts w:ascii="Book Antiqua" w:hAnsi="Book Antiqua"/>
          <w:szCs w:val="24"/>
        </w:rPr>
      </w:pPr>
    </w:p>
    <w:p w:rsidR="00292747" w:rsidRPr="0040737C" w:rsidRDefault="00292747" w:rsidP="00D066C8">
      <w:pPr>
        <w:pStyle w:val="Odstavecseseznamem"/>
        <w:numPr>
          <w:ilvl w:val="0"/>
          <w:numId w:val="8"/>
        </w:numPr>
        <w:spacing w:after="160" w:line="259" w:lineRule="auto"/>
        <w:rPr>
          <w:rFonts w:ascii="Book Antiqua" w:hAnsi="Book Antiqua"/>
          <w:szCs w:val="24"/>
        </w:rPr>
      </w:pPr>
      <w:r>
        <w:rPr>
          <w:rFonts w:ascii="Book Antiqua" w:hAnsi="Book Antiqua"/>
          <w:szCs w:val="24"/>
        </w:rPr>
        <w:t xml:space="preserve">zákazy, příkazy by </w:t>
      </w:r>
      <w:r w:rsidRPr="004C5181">
        <w:rPr>
          <w:rFonts w:ascii="Book Antiqua" w:hAnsi="Book Antiqua"/>
          <w:szCs w:val="24"/>
          <w:u w:val="single"/>
        </w:rPr>
        <w:t>variantně</w:t>
      </w:r>
      <w:r>
        <w:rPr>
          <w:rFonts w:ascii="Book Antiqua" w:hAnsi="Book Antiqua"/>
          <w:szCs w:val="24"/>
        </w:rPr>
        <w:t xml:space="preserve"> měly směřovat i proto manželu POV </w:t>
      </w:r>
    </w:p>
    <w:p w:rsidR="0040737C" w:rsidRPr="0040737C" w:rsidRDefault="0040737C" w:rsidP="00D066C8">
      <w:pPr>
        <w:pStyle w:val="Odstavecseseznamem"/>
        <w:spacing w:after="160" w:line="259" w:lineRule="auto"/>
        <w:ind w:left="405"/>
        <w:rPr>
          <w:rFonts w:ascii="Book Antiqua" w:hAnsi="Book Antiqua"/>
          <w:szCs w:val="24"/>
        </w:rPr>
      </w:pPr>
    </w:p>
    <w:p w:rsidR="0040737C" w:rsidRDefault="0040737C" w:rsidP="00D066C8">
      <w:pPr>
        <w:pStyle w:val="Odstavecseseznamem"/>
        <w:numPr>
          <w:ilvl w:val="0"/>
          <w:numId w:val="8"/>
        </w:numPr>
        <w:rPr>
          <w:rFonts w:ascii="Book Antiqua" w:hAnsi="Book Antiqua"/>
        </w:rPr>
      </w:pPr>
      <w:r w:rsidRPr="008C70B3">
        <w:rPr>
          <w:rFonts w:ascii="Book Antiqua" w:hAnsi="Book Antiqua"/>
        </w:rPr>
        <w:t>údaj o právním zastoupení (u POV i OPR) by měl být v záhlaví v druhém a nikoliv prvním sloupci, který pouze identifikuje údaj uvedený v</w:t>
      </w:r>
      <w:r>
        <w:rPr>
          <w:rFonts w:ascii="Book Antiqua" w:hAnsi="Book Antiqua"/>
        </w:rPr>
        <w:t> </w:t>
      </w:r>
      <w:r w:rsidRPr="008C70B3">
        <w:rPr>
          <w:rFonts w:ascii="Book Antiqua" w:hAnsi="Book Antiqua"/>
        </w:rPr>
        <w:t>řádku</w:t>
      </w:r>
    </w:p>
    <w:p w:rsidR="0040737C" w:rsidRPr="0040737C" w:rsidRDefault="0040737C" w:rsidP="00D066C8">
      <w:pPr>
        <w:pStyle w:val="Odstavecseseznamem"/>
        <w:ind w:left="405"/>
        <w:rPr>
          <w:rFonts w:ascii="Book Antiqua" w:hAnsi="Book Antiqua"/>
        </w:rPr>
      </w:pPr>
    </w:p>
    <w:p w:rsidR="0040737C" w:rsidRDefault="0040737C" w:rsidP="00D066C8">
      <w:pPr>
        <w:pStyle w:val="Odstavecseseznamem"/>
        <w:numPr>
          <w:ilvl w:val="0"/>
          <w:numId w:val="8"/>
        </w:numPr>
        <w:spacing w:after="160" w:line="259" w:lineRule="auto"/>
        <w:rPr>
          <w:rFonts w:ascii="Book Antiqua" w:hAnsi="Book Antiqua"/>
        </w:rPr>
      </w:pPr>
      <w:r w:rsidRPr="009669BB">
        <w:rPr>
          <w:rFonts w:ascii="Book Antiqua" w:hAnsi="Book Antiqua"/>
        </w:rPr>
        <w:t>Poučení slovy zákona (§ 48 písm. h) by mělo být o odvolání ne o všeobecném opravném prostředku, tj.: Proti exekučnímu příkazu není přípustné odvolání.</w:t>
      </w:r>
    </w:p>
    <w:p w:rsidR="0040737C" w:rsidRPr="009669BB" w:rsidRDefault="0040737C" w:rsidP="00D066C8">
      <w:pPr>
        <w:pStyle w:val="Odstavecseseznamem"/>
        <w:rPr>
          <w:rFonts w:ascii="Book Antiqua" w:hAnsi="Book Antiqua"/>
        </w:rPr>
      </w:pPr>
    </w:p>
    <w:p w:rsidR="0040737C" w:rsidRDefault="0040737C" w:rsidP="00D066C8">
      <w:pPr>
        <w:pStyle w:val="Odstavecseseznamem"/>
        <w:numPr>
          <w:ilvl w:val="0"/>
          <w:numId w:val="8"/>
        </w:numPr>
        <w:spacing w:after="160" w:line="259" w:lineRule="auto"/>
        <w:rPr>
          <w:rFonts w:ascii="Book Antiqua" w:hAnsi="Book Antiqua"/>
        </w:rPr>
      </w:pPr>
      <w:r w:rsidRPr="009669BB">
        <w:rPr>
          <w:rFonts w:ascii="Book Antiqua" w:hAnsi="Book Antiqua"/>
        </w:rPr>
        <w:t xml:space="preserve">Výroky by zásadně neměly být celé tučné! Tučně zvýrazněná má být část jako: zakazuje se, ukládá se apod. </w:t>
      </w:r>
    </w:p>
    <w:p w:rsidR="0040737C" w:rsidRPr="0040737C" w:rsidRDefault="0040737C" w:rsidP="00D066C8">
      <w:pPr>
        <w:pStyle w:val="Odstavecseseznamem"/>
        <w:rPr>
          <w:rFonts w:ascii="Book Antiqua" w:hAnsi="Book Antiqua"/>
        </w:rPr>
      </w:pPr>
    </w:p>
    <w:p w:rsidR="0040737C" w:rsidRPr="009669BB" w:rsidRDefault="0040737C" w:rsidP="00D066C8">
      <w:pPr>
        <w:pStyle w:val="Odstavecseseznamem"/>
        <w:numPr>
          <w:ilvl w:val="0"/>
          <w:numId w:val="8"/>
        </w:numPr>
        <w:spacing w:after="160" w:line="259" w:lineRule="auto"/>
        <w:rPr>
          <w:rFonts w:ascii="Book Antiqua" w:hAnsi="Book Antiqua"/>
        </w:rPr>
      </w:pPr>
      <w:r>
        <w:rPr>
          <w:rFonts w:ascii="Book Antiqua" w:hAnsi="Book Antiqua"/>
        </w:rPr>
        <w:t xml:space="preserve">V sekci Další informace navrhujeme vypustit bod 3. Vyčíslení vymáhané povinnosti v EP by (s ohledem na podrobné informace ve Výzvě a VYZE) postačovalo </w:t>
      </w:r>
      <w:r w:rsidRPr="009669BB">
        <w:rPr>
          <w:rFonts w:ascii="Book Antiqua" w:hAnsi="Book Antiqua"/>
          <w:b/>
        </w:rPr>
        <w:t>pouze 1 souhrnnou částkou</w:t>
      </w:r>
      <w:r>
        <w:rPr>
          <w:rFonts w:ascii="Book Antiqua" w:hAnsi="Book Antiqua"/>
        </w:rPr>
        <w:t xml:space="preserve">. Tím spíše to platí pro tabulku číslo 2 zde, platí </w:t>
      </w:r>
      <w:r w:rsidRPr="009669BB">
        <w:rPr>
          <w:rFonts w:ascii="Book Antiqua" w:hAnsi="Book Antiqua"/>
        </w:rPr>
        <w:t xml:space="preserve">navíc </w:t>
      </w:r>
      <w:r>
        <w:rPr>
          <w:rFonts w:ascii="Book Antiqua" w:hAnsi="Book Antiqua"/>
        </w:rPr>
        <w:t xml:space="preserve">i </w:t>
      </w:r>
      <w:r w:rsidRPr="009669BB">
        <w:rPr>
          <w:rFonts w:ascii="Book Antiqua" w:hAnsi="Book Antiqua"/>
        </w:rPr>
        <w:t>to, co je uvedeno v připomínkách k Výzvě</w:t>
      </w:r>
    </w:p>
    <w:p w:rsidR="003C330E" w:rsidRPr="00950DE2" w:rsidRDefault="003C330E" w:rsidP="00950DE2">
      <w:pPr>
        <w:rPr>
          <w:rFonts w:ascii="Book Antiqua" w:hAnsi="Book Antiqua"/>
        </w:rPr>
      </w:pPr>
    </w:p>
    <w:p w:rsidR="003C330E" w:rsidRPr="00950DE2" w:rsidRDefault="003C330E" w:rsidP="003C330E">
      <w:pPr>
        <w:pStyle w:val="Odstavecseseznamem"/>
        <w:numPr>
          <w:ilvl w:val="0"/>
          <w:numId w:val="13"/>
        </w:numPr>
        <w:rPr>
          <w:rFonts w:ascii="Book Antiqua" w:hAnsi="Book Antiqua"/>
          <w:u w:val="single"/>
        </w:rPr>
      </w:pPr>
      <w:r w:rsidRPr="00950DE2">
        <w:rPr>
          <w:rFonts w:ascii="Book Antiqua" w:hAnsi="Book Antiqua"/>
          <w:u w:val="single"/>
        </w:rPr>
        <w:t>Ke vzoru EP – NV</w:t>
      </w:r>
    </w:p>
    <w:p w:rsidR="003C330E" w:rsidRDefault="003C330E" w:rsidP="003C330E">
      <w:pPr>
        <w:pStyle w:val="Odstavecseseznamem"/>
        <w:rPr>
          <w:rFonts w:ascii="Book Antiqua" w:hAnsi="Book Antiqua"/>
        </w:rPr>
      </w:pPr>
    </w:p>
    <w:p w:rsidR="00BF09F7" w:rsidRDefault="00BF09F7" w:rsidP="00BF09F7">
      <w:pPr>
        <w:pStyle w:val="Odstavecseseznamem"/>
        <w:numPr>
          <w:ilvl w:val="0"/>
          <w:numId w:val="8"/>
        </w:numPr>
        <w:rPr>
          <w:rFonts w:ascii="Book Antiqua" w:hAnsi="Book Antiqua"/>
        </w:rPr>
      </w:pPr>
      <w:r w:rsidRPr="008C70B3">
        <w:rPr>
          <w:rFonts w:ascii="Book Antiqua" w:hAnsi="Book Antiqua"/>
        </w:rPr>
        <w:t>údaj o právním zastoupení (u POV i OPR) by měl být v záhlaví v druhém a nikoliv prvním sloupci, který pouze identifikuje údaj uvedený v</w:t>
      </w:r>
      <w:r>
        <w:rPr>
          <w:rFonts w:ascii="Book Antiqua" w:hAnsi="Book Antiqua"/>
        </w:rPr>
        <w:t> </w:t>
      </w:r>
      <w:r w:rsidRPr="008C70B3">
        <w:rPr>
          <w:rFonts w:ascii="Book Antiqua" w:hAnsi="Book Antiqua"/>
        </w:rPr>
        <w:t>řádku</w:t>
      </w:r>
    </w:p>
    <w:p w:rsidR="00BF09F7" w:rsidRPr="00BF09F7" w:rsidRDefault="00BF09F7" w:rsidP="00BF09F7">
      <w:pPr>
        <w:pStyle w:val="Odstavecseseznamem"/>
        <w:ind w:left="405"/>
        <w:rPr>
          <w:rFonts w:ascii="Book Antiqua" w:hAnsi="Book Antiqua"/>
        </w:rPr>
      </w:pPr>
    </w:p>
    <w:p w:rsidR="00BF09F7" w:rsidRPr="00A71B07" w:rsidRDefault="00BF09F7" w:rsidP="00BF09F7">
      <w:pPr>
        <w:pStyle w:val="Odstavecseseznamem"/>
        <w:numPr>
          <w:ilvl w:val="0"/>
          <w:numId w:val="8"/>
        </w:numPr>
        <w:spacing w:after="160" w:line="259" w:lineRule="auto"/>
        <w:jc w:val="left"/>
        <w:rPr>
          <w:rFonts w:ascii="Book Antiqua" w:hAnsi="Book Antiqua"/>
        </w:rPr>
      </w:pPr>
      <w:r w:rsidRPr="009669BB">
        <w:rPr>
          <w:rFonts w:ascii="Book Antiqua" w:hAnsi="Book Antiqua"/>
        </w:rPr>
        <w:t>Poučení slovy zákona (§ 48 písm. h) by mělo být o odvolání ne o všeobecném opravném prostředku, tj.: Proti exekučnímu příkazu není přípustné odvolání.</w:t>
      </w:r>
    </w:p>
    <w:p w:rsidR="00BF09F7" w:rsidRPr="00A71B07" w:rsidRDefault="00BF09F7" w:rsidP="00BF09F7">
      <w:pPr>
        <w:pStyle w:val="Odstavecseseznamem"/>
        <w:spacing w:after="160" w:line="259" w:lineRule="auto"/>
        <w:ind w:left="405"/>
        <w:jc w:val="left"/>
        <w:rPr>
          <w:rFonts w:ascii="Book Antiqua" w:hAnsi="Book Antiqua"/>
        </w:rPr>
      </w:pPr>
    </w:p>
    <w:p w:rsidR="00BF09F7" w:rsidRDefault="00BF09F7" w:rsidP="00BF09F7">
      <w:pPr>
        <w:pStyle w:val="Odstavecseseznamem"/>
        <w:numPr>
          <w:ilvl w:val="0"/>
          <w:numId w:val="8"/>
        </w:numPr>
        <w:spacing w:after="160" w:line="259" w:lineRule="auto"/>
        <w:rPr>
          <w:rFonts w:ascii="Book Antiqua" w:hAnsi="Book Antiqua"/>
        </w:rPr>
      </w:pPr>
      <w:r>
        <w:rPr>
          <w:rFonts w:ascii="Book Antiqua" w:hAnsi="Book Antiqua"/>
        </w:rPr>
        <w:t xml:space="preserve">V sekci Další informace navrhujeme vypustit bod 3. Vyčíslení vymáhané povinnosti v EP by (s ohledem na podrobné informace ve Výzvě a VYZE) postačovalo </w:t>
      </w:r>
      <w:r w:rsidRPr="009669BB">
        <w:rPr>
          <w:rFonts w:ascii="Book Antiqua" w:hAnsi="Book Antiqua"/>
          <w:b/>
        </w:rPr>
        <w:t>pouze 1 souhrnnou částkou</w:t>
      </w:r>
      <w:r>
        <w:rPr>
          <w:rFonts w:ascii="Book Antiqua" w:hAnsi="Book Antiqua"/>
        </w:rPr>
        <w:t xml:space="preserve">. Tím spíše to platí pro tabulku číslo 2 zde, platí </w:t>
      </w:r>
      <w:r w:rsidRPr="009669BB">
        <w:rPr>
          <w:rFonts w:ascii="Book Antiqua" w:hAnsi="Book Antiqua"/>
        </w:rPr>
        <w:t xml:space="preserve">navíc </w:t>
      </w:r>
      <w:r>
        <w:rPr>
          <w:rFonts w:ascii="Book Antiqua" w:hAnsi="Book Antiqua"/>
        </w:rPr>
        <w:t xml:space="preserve">i </w:t>
      </w:r>
      <w:r w:rsidRPr="009669BB">
        <w:rPr>
          <w:rFonts w:ascii="Book Antiqua" w:hAnsi="Book Antiqua"/>
        </w:rPr>
        <w:t>to, co je uvedeno v připomínkách k</w:t>
      </w:r>
      <w:r>
        <w:rPr>
          <w:rFonts w:ascii="Book Antiqua" w:hAnsi="Book Antiqua"/>
        </w:rPr>
        <w:t> </w:t>
      </w:r>
      <w:r w:rsidRPr="009669BB">
        <w:rPr>
          <w:rFonts w:ascii="Book Antiqua" w:hAnsi="Book Antiqua"/>
        </w:rPr>
        <w:t>Výzvě</w:t>
      </w:r>
      <w:r>
        <w:rPr>
          <w:rFonts w:ascii="Book Antiqua" w:hAnsi="Book Antiqua"/>
        </w:rPr>
        <w:t>.</w:t>
      </w:r>
    </w:p>
    <w:p w:rsidR="00BF09F7" w:rsidRPr="00A71B07" w:rsidRDefault="00BF09F7" w:rsidP="00BF09F7">
      <w:pPr>
        <w:pStyle w:val="Odstavecseseznamem"/>
        <w:rPr>
          <w:rFonts w:ascii="Book Antiqua" w:hAnsi="Book Antiqua"/>
        </w:rPr>
      </w:pPr>
    </w:p>
    <w:p w:rsidR="00BF09F7" w:rsidRDefault="00BF09F7" w:rsidP="00BF09F7">
      <w:pPr>
        <w:pStyle w:val="Odstavecseseznamem"/>
        <w:numPr>
          <w:ilvl w:val="0"/>
          <w:numId w:val="8"/>
        </w:numPr>
        <w:spacing w:after="160" w:line="259" w:lineRule="auto"/>
        <w:rPr>
          <w:rFonts w:ascii="Book Antiqua" w:hAnsi="Book Antiqua"/>
        </w:rPr>
      </w:pPr>
      <w:r>
        <w:rPr>
          <w:rFonts w:ascii="Book Antiqua" w:hAnsi="Book Antiqua"/>
        </w:rPr>
        <w:t>V</w:t>
      </w:r>
      <w:r w:rsidRPr="00637748">
        <w:rPr>
          <w:rFonts w:ascii="Book Antiqua" w:hAnsi="Book Antiqua"/>
        </w:rPr>
        <w:t xml:space="preserve"> úvodní tabulce je zcela zbytečné duplicitně uvádět označení nemovité věci </w:t>
      </w:r>
      <w:r>
        <w:rPr>
          <w:rFonts w:ascii="Book Antiqua" w:hAnsi="Book Antiqua"/>
        </w:rPr>
        <w:t>(navíc exekutoři identifikují často nemovitost přímo výřezem z KN, který půjde obtížně vložit do tabulky) – toto je již ve výrocích.</w:t>
      </w:r>
    </w:p>
    <w:p w:rsidR="00950DE2" w:rsidRPr="00950DE2" w:rsidRDefault="00950DE2" w:rsidP="00950DE2">
      <w:pPr>
        <w:pStyle w:val="Odstavecseseznamem"/>
        <w:rPr>
          <w:rFonts w:ascii="Book Antiqua" w:hAnsi="Book Antiqua"/>
        </w:rPr>
      </w:pPr>
    </w:p>
    <w:p w:rsidR="00950DE2" w:rsidRPr="00950DE2" w:rsidRDefault="00950DE2" w:rsidP="00950DE2">
      <w:pPr>
        <w:pStyle w:val="Odstavecseseznamem"/>
        <w:numPr>
          <w:ilvl w:val="0"/>
          <w:numId w:val="8"/>
        </w:numPr>
        <w:spacing w:after="160" w:line="259" w:lineRule="auto"/>
        <w:rPr>
          <w:rFonts w:ascii="Book Antiqua" w:hAnsi="Book Antiqua"/>
        </w:rPr>
      </w:pPr>
      <w:r w:rsidRPr="009669BB">
        <w:rPr>
          <w:rFonts w:ascii="Book Antiqua" w:hAnsi="Book Antiqua"/>
        </w:rPr>
        <w:t xml:space="preserve">Výroky by zásadně neměly být celé tučné! Tučně zvýrazněná má být část jako: zakazuje se, ukládá se apod. </w:t>
      </w:r>
    </w:p>
    <w:p w:rsidR="00950DE2" w:rsidRPr="00950DE2" w:rsidRDefault="00950DE2" w:rsidP="00950DE2">
      <w:pPr>
        <w:pStyle w:val="Odstavecseseznamem"/>
        <w:spacing w:after="160" w:line="259" w:lineRule="auto"/>
        <w:ind w:left="405"/>
        <w:rPr>
          <w:rFonts w:ascii="Book Antiqua" w:hAnsi="Book Antiqua"/>
        </w:rPr>
      </w:pPr>
    </w:p>
    <w:p w:rsidR="003C330E" w:rsidRPr="00950DE2" w:rsidRDefault="00BF09F7" w:rsidP="00950DE2">
      <w:pPr>
        <w:pStyle w:val="Odstavecseseznamem"/>
        <w:numPr>
          <w:ilvl w:val="0"/>
          <w:numId w:val="8"/>
        </w:numPr>
        <w:spacing w:after="160" w:line="259" w:lineRule="auto"/>
        <w:rPr>
          <w:rFonts w:ascii="Book Antiqua" w:hAnsi="Book Antiqua"/>
        </w:rPr>
      </w:pPr>
      <w:r>
        <w:rPr>
          <w:rFonts w:ascii="Book Antiqua" w:hAnsi="Book Antiqua"/>
        </w:rPr>
        <w:t>Do Dalších informací v bodu 2. by bylo vhodné vložit alespoň základní informace o průběhu: „</w:t>
      </w:r>
      <w:r w:rsidRPr="00BF09F7">
        <w:rPr>
          <w:rFonts w:ascii="Book Antiqua" w:hAnsi="Book Antiqua"/>
          <w:i/>
        </w:rPr>
        <w:t>Vydání exekučního příkazu neznamená, že nemovitá věc bude skutečně prodána, ale jde o úkon zajišťovacího charakteru. Soudní exekutor, rozhodne-li směřovat řízení k prodeji nemovité věci, ustanoví po právní moci výše uvedeného exekučního příkazu znalce, který ocení jmenovanou nemovitou věc a její příslušenství. Soudní exekutor na základě znaleckého posudku určí usnesením výslednou cenu nemovité věci. Dražbu nařídí soudní exekutor v dražební vyhlášce, ve které mimo jiné uvede způsob dražebního jednání, místo a čas.</w:t>
      </w:r>
      <w:r>
        <w:rPr>
          <w:rFonts w:ascii="Book Antiqua" w:hAnsi="Book Antiqua"/>
          <w:i/>
        </w:rPr>
        <w:t>“</w:t>
      </w:r>
    </w:p>
    <w:p w:rsidR="00950DE2" w:rsidRPr="00950DE2" w:rsidRDefault="00950DE2" w:rsidP="00950DE2">
      <w:pPr>
        <w:pStyle w:val="Odstavecseseznamem"/>
        <w:rPr>
          <w:rFonts w:ascii="Book Antiqua" w:hAnsi="Book Antiqua"/>
        </w:rPr>
      </w:pPr>
    </w:p>
    <w:p w:rsidR="00950DE2" w:rsidRPr="00950DE2" w:rsidRDefault="00950DE2" w:rsidP="00950DE2">
      <w:pPr>
        <w:pStyle w:val="Odstavecseseznamem"/>
        <w:spacing w:after="160" w:line="259" w:lineRule="auto"/>
        <w:ind w:left="405"/>
        <w:rPr>
          <w:rFonts w:ascii="Book Antiqua" w:hAnsi="Book Antiqua"/>
        </w:rPr>
      </w:pPr>
    </w:p>
    <w:p w:rsidR="003C330E" w:rsidRPr="00950DE2" w:rsidRDefault="003C330E" w:rsidP="003C330E">
      <w:pPr>
        <w:pStyle w:val="Odstavecseseznamem"/>
        <w:numPr>
          <w:ilvl w:val="0"/>
          <w:numId w:val="13"/>
        </w:numPr>
        <w:rPr>
          <w:rFonts w:ascii="Book Antiqua" w:hAnsi="Book Antiqua"/>
          <w:u w:val="single"/>
        </w:rPr>
      </w:pPr>
      <w:r w:rsidRPr="00950DE2">
        <w:rPr>
          <w:rFonts w:ascii="Book Antiqua" w:hAnsi="Book Antiqua"/>
          <w:u w:val="single"/>
        </w:rPr>
        <w:t>Ke vzoru EP – závod</w:t>
      </w:r>
    </w:p>
    <w:p w:rsidR="003C330E" w:rsidRDefault="003C330E" w:rsidP="003C330E">
      <w:pPr>
        <w:pStyle w:val="Odstavecseseznamem"/>
        <w:rPr>
          <w:rFonts w:ascii="Book Antiqua" w:hAnsi="Book Antiqua"/>
        </w:rPr>
      </w:pPr>
    </w:p>
    <w:p w:rsidR="00950DE2" w:rsidRDefault="00950DE2" w:rsidP="00950DE2">
      <w:pPr>
        <w:pStyle w:val="Odstavecseseznamem"/>
        <w:numPr>
          <w:ilvl w:val="0"/>
          <w:numId w:val="8"/>
        </w:numPr>
        <w:rPr>
          <w:rFonts w:ascii="Book Antiqua" w:hAnsi="Book Antiqua"/>
        </w:rPr>
      </w:pPr>
      <w:r w:rsidRPr="008C70B3">
        <w:rPr>
          <w:rFonts w:ascii="Book Antiqua" w:hAnsi="Book Antiqua"/>
        </w:rPr>
        <w:t>údaj o právním zastoupení (u POV i OPR) by měl být v záhlaví v druhém a nikoliv prvním sloupci, který pouze identifikuje údaj uvedený v</w:t>
      </w:r>
      <w:r>
        <w:rPr>
          <w:rFonts w:ascii="Book Antiqua" w:hAnsi="Book Antiqua"/>
        </w:rPr>
        <w:t> </w:t>
      </w:r>
      <w:r w:rsidRPr="008C70B3">
        <w:rPr>
          <w:rFonts w:ascii="Book Antiqua" w:hAnsi="Book Antiqua"/>
        </w:rPr>
        <w:t>řádku</w:t>
      </w:r>
    </w:p>
    <w:p w:rsidR="00950DE2" w:rsidRPr="00BF09F7" w:rsidRDefault="00950DE2" w:rsidP="00950DE2">
      <w:pPr>
        <w:pStyle w:val="Odstavecseseznamem"/>
        <w:ind w:left="405"/>
        <w:rPr>
          <w:rFonts w:ascii="Book Antiqua" w:hAnsi="Book Antiqua"/>
        </w:rPr>
      </w:pPr>
    </w:p>
    <w:p w:rsidR="00950DE2" w:rsidRPr="00A71B07" w:rsidRDefault="00950DE2" w:rsidP="00950DE2">
      <w:pPr>
        <w:pStyle w:val="Odstavecseseznamem"/>
        <w:numPr>
          <w:ilvl w:val="0"/>
          <w:numId w:val="8"/>
        </w:numPr>
        <w:spacing w:after="160" w:line="259" w:lineRule="auto"/>
        <w:jc w:val="left"/>
        <w:rPr>
          <w:rFonts w:ascii="Book Antiqua" w:hAnsi="Book Antiqua"/>
        </w:rPr>
      </w:pPr>
      <w:r w:rsidRPr="009669BB">
        <w:rPr>
          <w:rFonts w:ascii="Book Antiqua" w:hAnsi="Book Antiqua"/>
        </w:rPr>
        <w:t>Poučení slovy zákona (§ 48 písm. h) by mělo být o odvolání ne o všeobecném opravném prostředku, tj.: Proti exekučnímu příkazu není přípustné odvolání.</w:t>
      </w:r>
    </w:p>
    <w:p w:rsidR="00950DE2" w:rsidRPr="00A71B07" w:rsidRDefault="00950DE2" w:rsidP="00950DE2">
      <w:pPr>
        <w:pStyle w:val="Odstavecseseznamem"/>
        <w:spacing w:after="160" w:line="259" w:lineRule="auto"/>
        <w:ind w:left="405"/>
        <w:jc w:val="left"/>
        <w:rPr>
          <w:rFonts w:ascii="Book Antiqua" w:hAnsi="Book Antiqua"/>
        </w:rPr>
      </w:pPr>
    </w:p>
    <w:p w:rsidR="00950DE2" w:rsidRDefault="00950DE2" w:rsidP="00950DE2">
      <w:pPr>
        <w:pStyle w:val="Odstavecseseznamem"/>
        <w:numPr>
          <w:ilvl w:val="0"/>
          <w:numId w:val="8"/>
        </w:numPr>
        <w:spacing w:after="160" w:line="259" w:lineRule="auto"/>
        <w:rPr>
          <w:rFonts w:ascii="Book Antiqua" w:hAnsi="Book Antiqua"/>
        </w:rPr>
      </w:pPr>
      <w:r>
        <w:rPr>
          <w:rFonts w:ascii="Book Antiqua" w:hAnsi="Book Antiqua"/>
        </w:rPr>
        <w:t xml:space="preserve">V sekci Další informace navrhujeme vypustit bod 3. Vyčíslení vymáhané povinnosti v EP by (s ohledem na podrobné informace ve Výzvě a VYZE) postačovalo </w:t>
      </w:r>
      <w:r w:rsidRPr="009669BB">
        <w:rPr>
          <w:rFonts w:ascii="Book Antiqua" w:hAnsi="Book Antiqua"/>
          <w:b/>
        </w:rPr>
        <w:t>pouze 1 souhrnnou částkou</w:t>
      </w:r>
      <w:r>
        <w:rPr>
          <w:rFonts w:ascii="Book Antiqua" w:hAnsi="Book Antiqua"/>
        </w:rPr>
        <w:t xml:space="preserve">. Tím spíše to platí pro tabulku číslo 2 zde, platí </w:t>
      </w:r>
      <w:r w:rsidRPr="009669BB">
        <w:rPr>
          <w:rFonts w:ascii="Book Antiqua" w:hAnsi="Book Antiqua"/>
        </w:rPr>
        <w:t xml:space="preserve">navíc </w:t>
      </w:r>
      <w:r>
        <w:rPr>
          <w:rFonts w:ascii="Book Antiqua" w:hAnsi="Book Antiqua"/>
        </w:rPr>
        <w:t xml:space="preserve">i </w:t>
      </w:r>
      <w:r w:rsidRPr="009669BB">
        <w:rPr>
          <w:rFonts w:ascii="Book Antiqua" w:hAnsi="Book Antiqua"/>
        </w:rPr>
        <w:t>to, co je uvedeno v připomínkách k</w:t>
      </w:r>
      <w:r>
        <w:rPr>
          <w:rFonts w:ascii="Book Antiqua" w:hAnsi="Book Antiqua"/>
        </w:rPr>
        <w:t> </w:t>
      </w:r>
      <w:r w:rsidRPr="009669BB">
        <w:rPr>
          <w:rFonts w:ascii="Book Antiqua" w:hAnsi="Book Antiqua"/>
        </w:rPr>
        <w:t>Výzvě</w:t>
      </w:r>
      <w:r>
        <w:rPr>
          <w:rFonts w:ascii="Book Antiqua" w:hAnsi="Book Antiqua"/>
        </w:rPr>
        <w:t>.</w:t>
      </w:r>
    </w:p>
    <w:p w:rsidR="00950DE2" w:rsidRPr="00A71B07" w:rsidRDefault="00950DE2" w:rsidP="00950DE2">
      <w:pPr>
        <w:pStyle w:val="Odstavecseseznamem"/>
        <w:rPr>
          <w:rFonts w:ascii="Book Antiqua" w:hAnsi="Book Antiqua"/>
        </w:rPr>
      </w:pPr>
    </w:p>
    <w:p w:rsidR="00950DE2" w:rsidRDefault="00950DE2" w:rsidP="00950DE2">
      <w:pPr>
        <w:pStyle w:val="Odstavecseseznamem"/>
        <w:numPr>
          <w:ilvl w:val="0"/>
          <w:numId w:val="8"/>
        </w:numPr>
        <w:spacing w:after="160" w:line="259" w:lineRule="auto"/>
        <w:rPr>
          <w:rFonts w:ascii="Book Antiqua" w:hAnsi="Book Antiqua"/>
        </w:rPr>
      </w:pPr>
      <w:r>
        <w:rPr>
          <w:rFonts w:ascii="Book Antiqua" w:hAnsi="Book Antiqua"/>
        </w:rPr>
        <w:t>V</w:t>
      </w:r>
      <w:r w:rsidRPr="00637748">
        <w:rPr>
          <w:rFonts w:ascii="Book Antiqua" w:hAnsi="Book Antiqua"/>
        </w:rPr>
        <w:t xml:space="preserve"> úvodní tabulce je zcela zbytečné duplicitně uvádět označení </w:t>
      </w:r>
      <w:r>
        <w:rPr>
          <w:rFonts w:ascii="Book Antiqua" w:hAnsi="Book Antiqua"/>
        </w:rPr>
        <w:t>závodu – toto je již ve výrocích.</w:t>
      </w:r>
    </w:p>
    <w:p w:rsidR="003C330E" w:rsidRDefault="003C330E" w:rsidP="003C330E">
      <w:pPr>
        <w:pStyle w:val="Odstavecseseznamem"/>
        <w:rPr>
          <w:rFonts w:ascii="Book Antiqua" w:hAnsi="Book Antiqua"/>
        </w:rPr>
      </w:pPr>
    </w:p>
    <w:p w:rsidR="003C330E" w:rsidRDefault="00950DE2" w:rsidP="00950DE2">
      <w:pPr>
        <w:pStyle w:val="Odstavecseseznamem"/>
        <w:numPr>
          <w:ilvl w:val="0"/>
          <w:numId w:val="8"/>
        </w:numPr>
        <w:spacing w:after="160" w:line="259" w:lineRule="auto"/>
        <w:rPr>
          <w:rFonts w:ascii="Book Antiqua" w:hAnsi="Book Antiqua"/>
        </w:rPr>
      </w:pPr>
      <w:r w:rsidRPr="009669BB">
        <w:rPr>
          <w:rFonts w:ascii="Book Antiqua" w:hAnsi="Book Antiqua"/>
        </w:rPr>
        <w:t xml:space="preserve">Výroky by zásadně neměly být celé tučné! Tučně zvýrazněná má být část jako: zakazuje se, ukládá se apod. </w:t>
      </w:r>
    </w:p>
    <w:p w:rsidR="00950DE2" w:rsidRPr="00950DE2" w:rsidRDefault="00950DE2" w:rsidP="00950DE2">
      <w:pPr>
        <w:pStyle w:val="Odstavecseseznamem"/>
        <w:rPr>
          <w:rFonts w:ascii="Book Antiqua" w:hAnsi="Book Antiqua"/>
        </w:rPr>
      </w:pPr>
    </w:p>
    <w:p w:rsidR="00950DE2" w:rsidRPr="00950DE2" w:rsidRDefault="00950DE2" w:rsidP="00950DE2">
      <w:pPr>
        <w:pStyle w:val="Odstavecseseznamem"/>
        <w:spacing w:after="160" w:line="259" w:lineRule="auto"/>
        <w:ind w:left="405"/>
        <w:rPr>
          <w:rFonts w:ascii="Book Antiqua" w:hAnsi="Book Antiqua"/>
        </w:rPr>
      </w:pPr>
    </w:p>
    <w:p w:rsidR="003C330E" w:rsidRPr="00950DE2" w:rsidRDefault="003C330E" w:rsidP="003C330E">
      <w:pPr>
        <w:pStyle w:val="Odstavecseseznamem"/>
        <w:numPr>
          <w:ilvl w:val="0"/>
          <w:numId w:val="13"/>
        </w:numPr>
        <w:rPr>
          <w:rFonts w:ascii="Book Antiqua" w:hAnsi="Book Antiqua"/>
          <w:u w:val="single"/>
        </w:rPr>
      </w:pPr>
      <w:r w:rsidRPr="00950DE2">
        <w:rPr>
          <w:rFonts w:ascii="Book Antiqua" w:hAnsi="Book Antiqua"/>
          <w:u w:val="single"/>
        </w:rPr>
        <w:t>Ke vzoru EP – správa NV</w:t>
      </w:r>
    </w:p>
    <w:p w:rsidR="003C330E" w:rsidRDefault="003C330E" w:rsidP="003C330E">
      <w:pPr>
        <w:pStyle w:val="Odstavecseseznamem"/>
        <w:rPr>
          <w:rFonts w:ascii="Book Antiqua" w:hAnsi="Book Antiqua"/>
        </w:rPr>
      </w:pPr>
    </w:p>
    <w:p w:rsidR="00A71B07" w:rsidRDefault="00A71B07" w:rsidP="00BF09F7">
      <w:pPr>
        <w:pStyle w:val="Odstavecseseznamem"/>
        <w:numPr>
          <w:ilvl w:val="0"/>
          <w:numId w:val="8"/>
        </w:numPr>
        <w:rPr>
          <w:rFonts w:ascii="Book Antiqua" w:hAnsi="Book Antiqua"/>
        </w:rPr>
      </w:pPr>
      <w:r w:rsidRPr="008C70B3">
        <w:rPr>
          <w:rFonts w:ascii="Book Antiqua" w:hAnsi="Book Antiqua"/>
        </w:rPr>
        <w:t>údaj o právním zastoupení (u POV i OPR) by měl být v záhlaví v druhém a nikoliv prvním sloupci, který pouze identifikuje údaj uvedený v</w:t>
      </w:r>
      <w:r w:rsidR="00BF09F7">
        <w:rPr>
          <w:rFonts w:ascii="Book Antiqua" w:hAnsi="Book Antiqua"/>
        </w:rPr>
        <w:t> </w:t>
      </w:r>
      <w:r w:rsidRPr="008C70B3">
        <w:rPr>
          <w:rFonts w:ascii="Book Antiqua" w:hAnsi="Book Antiqua"/>
        </w:rPr>
        <w:t>řádku</w:t>
      </w:r>
    </w:p>
    <w:p w:rsidR="00BF09F7" w:rsidRPr="00BF09F7" w:rsidRDefault="00BF09F7" w:rsidP="00BF09F7">
      <w:pPr>
        <w:pStyle w:val="Odstavecseseznamem"/>
        <w:ind w:left="405"/>
        <w:rPr>
          <w:rFonts w:ascii="Book Antiqua" w:hAnsi="Book Antiqua"/>
        </w:rPr>
      </w:pPr>
    </w:p>
    <w:p w:rsidR="00A71B07" w:rsidRPr="00A71B07" w:rsidRDefault="00A71B07" w:rsidP="00A71B07">
      <w:pPr>
        <w:pStyle w:val="Odstavecseseznamem"/>
        <w:numPr>
          <w:ilvl w:val="0"/>
          <w:numId w:val="8"/>
        </w:numPr>
        <w:spacing w:after="160" w:line="259" w:lineRule="auto"/>
        <w:jc w:val="left"/>
        <w:rPr>
          <w:rFonts w:ascii="Book Antiqua" w:hAnsi="Book Antiqua"/>
        </w:rPr>
      </w:pPr>
      <w:r w:rsidRPr="009669BB">
        <w:rPr>
          <w:rFonts w:ascii="Book Antiqua" w:hAnsi="Book Antiqua"/>
        </w:rPr>
        <w:t>Poučení slovy zákona (§ 48 písm. h) by mělo být o odvolání ne o všeobecném opravném prostředku, tj.: Proti exekučnímu příkazu není přípustné odvolání.</w:t>
      </w:r>
    </w:p>
    <w:p w:rsidR="00A71B07" w:rsidRPr="00A71B07" w:rsidRDefault="00A71B07" w:rsidP="00A71B07">
      <w:pPr>
        <w:pStyle w:val="Odstavecseseznamem"/>
        <w:spacing w:after="160" w:line="259" w:lineRule="auto"/>
        <w:ind w:left="405"/>
        <w:jc w:val="left"/>
        <w:rPr>
          <w:rFonts w:ascii="Book Antiqua" w:hAnsi="Book Antiqua"/>
        </w:rPr>
      </w:pPr>
    </w:p>
    <w:p w:rsidR="00A71B07" w:rsidRDefault="00A71B07" w:rsidP="00A71B07">
      <w:pPr>
        <w:pStyle w:val="Odstavecseseznamem"/>
        <w:numPr>
          <w:ilvl w:val="0"/>
          <w:numId w:val="8"/>
        </w:numPr>
        <w:spacing w:after="160" w:line="259" w:lineRule="auto"/>
        <w:rPr>
          <w:rFonts w:ascii="Book Antiqua" w:hAnsi="Book Antiqua"/>
        </w:rPr>
      </w:pPr>
      <w:r>
        <w:rPr>
          <w:rFonts w:ascii="Book Antiqua" w:hAnsi="Book Antiqua"/>
        </w:rPr>
        <w:t xml:space="preserve">V sekci Další informace navrhujeme vypustit bod 3. Vyčíslení vymáhané povinnosti v EP by (s ohledem na podrobné informace ve Výzvě a VYZE) postačovalo </w:t>
      </w:r>
      <w:r w:rsidRPr="009669BB">
        <w:rPr>
          <w:rFonts w:ascii="Book Antiqua" w:hAnsi="Book Antiqua"/>
          <w:b/>
        </w:rPr>
        <w:t>pouze 1 souhrnnou částkou</w:t>
      </w:r>
      <w:r>
        <w:rPr>
          <w:rFonts w:ascii="Book Antiqua" w:hAnsi="Book Antiqua"/>
        </w:rPr>
        <w:t xml:space="preserve">. Tím spíše to platí pro tabulku číslo 2 zde, platí </w:t>
      </w:r>
      <w:r w:rsidRPr="009669BB">
        <w:rPr>
          <w:rFonts w:ascii="Book Antiqua" w:hAnsi="Book Antiqua"/>
        </w:rPr>
        <w:t xml:space="preserve">navíc </w:t>
      </w:r>
      <w:r>
        <w:rPr>
          <w:rFonts w:ascii="Book Antiqua" w:hAnsi="Book Antiqua"/>
        </w:rPr>
        <w:t xml:space="preserve">i </w:t>
      </w:r>
      <w:r w:rsidRPr="009669BB">
        <w:rPr>
          <w:rFonts w:ascii="Book Antiqua" w:hAnsi="Book Antiqua"/>
        </w:rPr>
        <w:t>to, co je uvedeno v připomínkách k</w:t>
      </w:r>
      <w:r>
        <w:rPr>
          <w:rFonts w:ascii="Book Antiqua" w:hAnsi="Book Antiqua"/>
        </w:rPr>
        <w:t> </w:t>
      </w:r>
      <w:r w:rsidRPr="009669BB">
        <w:rPr>
          <w:rFonts w:ascii="Book Antiqua" w:hAnsi="Book Antiqua"/>
        </w:rPr>
        <w:t>Výzvě</w:t>
      </w:r>
      <w:r>
        <w:rPr>
          <w:rFonts w:ascii="Book Antiqua" w:hAnsi="Book Antiqua"/>
        </w:rPr>
        <w:t>.</w:t>
      </w:r>
    </w:p>
    <w:p w:rsidR="00A71B07" w:rsidRPr="00A71B07" w:rsidRDefault="00A71B07" w:rsidP="00A71B07">
      <w:pPr>
        <w:pStyle w:val="Odstavecseseznamem"/>
        <w:rPr>
          <w:rFonts w:ascii="Book Antiqua" w:hAnsi="Book Antiqua"/>
        </w:rPr>
      </w:pPr>
    </w:p>
    <w:p w:rsidR="00950DE2" w:rsidRPr="00950DE2" w:rsidRDefault="00A71B07" w:rsidP="00950DE2">
      <w:pPr>
        <w:pStyle w:val="Odstavecseseznamem"/>
        <w:numPr>
          <w:ilvl w:val="0"/>
          <w:numId w:val="8"/>
        </w:numPr>
        <w:spacing w:after="160" w:line="259" w:lineRule="auto"/>
        <w:rPr>
          <w:rFonts w:ascii="Book Antiqua" w:hAnsi="Book Antiqua"/>
        </w:rPr>
      </w:pPr>
      <w:r>
        <w:rPr>
          <w:rFonts w:ascii="Book Antiqua" w:hAnsi="Book Antiqua"/>
        </w:rPr>
        <w:t>V</w:t>
      </w:r>
      <w:r w:rsidRPr="00637748">
        <w:rPr>
          <w:rFonts w:ascii="Book Antiqua" w:hAnsi="Book Antiqua"/>
        </w:rPr>
        <w:t xml:space="preserve"> úvodní tabulce je zcela zbytečné duplicitně uvádět označení nemovité věci </w:t>
      </w:r>
      <w:r>
        <w:rPr>
          <w:rFonts w:ascii="Book Antiqua" w:hAnsi="Book Antiqua"/>
        </w:rPr>
        <w:t>(navíc exekutoři identifikují často nemovitost přímo výřezem z KN, který půjde obtížně vložit do tabulky)</w:t>
      </w:r>
      <w:r w:rsidR="00BF09F7">
        <w:rPr>
          <w:rFonts w:ascii="Book Antiqua" w:hAnsi="Book Antiqua"/>
        </w:rPr>
        <w:t xml:space="preserve"> – toto je již ve výrocích.</w:t>
      </w:r>
    </w:p>
    <w:p w:rsidR="00950DE2" w:rsidRPr="00950DE2" w:rsidRDefault="00950DE2" w:rsidP="00950DE2">
      <w:pPr>
        <w:pStyle w:val="Odstavecseseznamem"/>
        <w:spacing w:after="160" w:line="259" w:lineRule="auto"/>
        <w:ind w:left="405"/>
        <w:rPr>
          <w:rFonts w:ascii="Book Antiqua" w:hAnsi="Book Antiqua"/>
        </w:rPr>
      </w:pPr>
    </w:p>
    <w:p w:rsidR="00950DE2" w:rsidRDefault="00950DE2" w:rsidP="00950DE2">
      <w:pPr>
        <w:pStyle w:val="Odstavecseseznamem"/>
        <w:numPr>
          <w:ilvl w:val="0"/>
          <w:numId w:val="8"/>
        </w:numPr>
        <w:spacing w:after="160" w:line="259" w:lineRule="auto"/>
        <w:rPr>
          <w:rFonts w:ascii="Book Antiqua" w:hAnsi="Book Antiqua"/>
        </w:rPr>
      </w:pPr>
      <w:r w:rsidRPr="009669BB">
        <w:rPr>
          <w:rFonts w:ascii="Book Antiqua" w:hAnsi="Book Antiqua"/>
        </w:rPr>
        <w:t xml:space="preserve">Výroky by zásadně neměly být celé tučné! Tučně zvýrazněná má být část jako: zakazuje se, ukládá se apod. </w:t>
      </w:r>
    </w:p>
    <w:p w:rsidR="003C330E" w:rsidRPr="00BF09F7" w:rsidRDefault="003C330E" w:rsidP="00BF09F7">
      <w:pPr>
        <w:rPr>
          <w:rFonts w:ascii="Book Antiqua" w:hAnsi="Book Antiqua"/>
        </w:rPr>
      </w:pPr>
    </w:p>
    <w:p w:rsidR="003C330E" w:rsidRPr="00BF09F7" w:rsidRDefault="003C330E" w:rsidP="003C330E">
      <w:pPr>
        <w:pStyle w:val="Odstavecseseznamem"/>
        <w:numPr>
          <w:ilvl w:val="0"/>
          <w:numId w:val="13"/>
        </w:numPr>
        <w:rPr>
          <w:rFonts w:ascii="Book Antiqua" w:hAnsi="Book Antiqua"/>
          <w:u w:val="single"/>
        </w:rPr>
      </w:pPr>
      <w:r w:rsidRPr="00BF09F7">
        <w:rPr>
          <w:rFonts w:ascii="Book Antiqua" w:hAnsi="Book Antiqua"/>
          <w:u w:val="single"/>
        </w:rPr>
        <w:t>Ke vzoru EP - ŘO</w:t>
      </w:r>
    </w:p>
    <w:p w:rsidR="003C330E" w:rsidRPr="00BF09F7" w:rsidRDefault="003C330E" w:rsidP="00BF09F7">
      <w:pPr>
        <w:rPr>
          <w:rFonts w:ascii="Book Antiqua" w:hAnsi="Book Antiqua"/>
        </w:rPr>
      </w:pPr>
    </w:p>
    <w:p w:rsidR="00BF09F7" w:rsidRDefault="00BF09F7" w:rsidP="00BF09F7">
      <w:pPr>
        <w:pStyle w:val="Odstavecseseznamem"/>
        <w:numPr>
          <w:ilvl w:val="0"/>
          <w:numId w:val="8"/>
        </w:numPr>
        <w:rPr>
          <w:rFonts w:ascii="Book Antiqua" w:hAnsi="Book Antiqua"/>
        </w:rPr>
      </w:pPr>
      <w:r w:rsidRPr="00BF09F7">
        <w:rPr>
          <w:rFonts w:ascii="Book Antiqua" w:hAnsi="Book Antiqua"/>
        </w:rPr>
        <w:t>Ve výroku I. chybí skupina řidičského oprávnění (např. skupina B). Poté by měl b</w:t>
      </w:r>
      <w:r>
        <w:rPr>
          <w:rFonts w:ascii="Book Antiqua" w:hAnsi="Book Antiqua"/>
        </w:rPr>
        <w:t>ýt podle toho změněn i výrok II.</w:t>
      </w:r>
    </w:p>
    <w:p w:rsidR="00BF09F7" w:rsidRDefault="00BF09F7" w:rsidP="00BF09F7">
      <w:pPr>
        <w:pStyle w:val="Odstavecseseznamem"/>
        <w:ind w:left="405"/>
        <w:rPr>
          <w:rFonts w:ascii="Book Antiqua" w:hAnsi="Book Antiqua"/>
        </w:rPr>
      </w:pPr>
    </w:p>
    <w:p w:rsidR="00BF09F7" w:rsidRDefault="00BF09F7" w:rsidP="00BF09F7">
      <w:pPr>
        <w:pStyle w:val="Odstavecseseznamem"/>
        <w:numPr>
          <w:ilvl w:val="0"/>
          <w:numId w:val="8"/>
        </w:numPr>
        <w:rPr>
          <w:rFonts w:ascii="Book Antiqua" w:hAnsi="Book Antiqua"/>
        </w:rPr>
      </w:pPr>
      <w:r w:rsidRPr="008C70B3">
        <w:rPr>
          <w:rFonts w:ascii="Book Antiqua" w:hAnsi="Book Antiqua"/>
        </w:rPr>
        <w:t>údaj o právním zastoupení (u POV i OPR) by měl být v záhlaví v druhém a nikoliv prvním sloupci, který pouze identifikuje údaj uvedený v</w:t>
      </w:r>
      <w:r>
        <w:rPr>
          <w:rFonts w:ascii="Book Antiqua" w:hAnsi="Book Antiqua"/>
        </w:rPr>
        <w:t> </w:t>
      </w:r>
      <w:r w:rsidRPr="008C70B3">
        <w:rPr>
          <w:rFonts w:ascii="Book Antiqua" w:hAnsi="Book Antiqua"/>
        </w:rPr>
        <w:t>řádku</w:t>
      </w:r>
    </w:p>
    <w:p w:rsidR="00BF09F7" w:rsidRPr="00BF09F7" w:rsidRDefault="00BF09F7" w:rsidP="00BF09F7">
      <w:pPr>
        <w:pStyle w:val="Odstavecseseznamem"/>
        <w:ind w:left="405"/>
        <w:rPr>
          <w:rFonts w:ascii="Book Antiqua" w:hAnsi="Book Antiqua"/>
        </w:rPr>
      </w:pPr>
    </w:p>
    <w:p w:rsidR="00BF09F7" w:rsidRPr="00A71B07" w:rsidRDefault="00BF09F7" w:rsidP="00BF09F7">
      <w:pPr>
        <w:pStyle w:val="Odstavecseseznamem"/>
        <w:numPr>
          <w:ilvl w:val="0"/>
          <w:numId w:val="8"/>
        </w:numPr>
        <w:spacing w:after="160" w:line="259" w:lineRule="auto"/>
        <w:jc w:val="left"/>
        <w:rPr>
          <w:rFonts w:ascii="Book Antiqua" w:hAnsi="Book Antiqua"/>
        </w:rPr>
      </w:pPr>
      <w:r w:rsidRPr="009669BB">
        <w:rPr>
          <w:rFonts w:ascii="Book Antiqua" w:hAnsi="Book Antiqua"/>
        </w:rPr>
        <w:t>Poučení slovy zákona (§ 48 písm. h) by mělo být o odvolání ne o všeobecném opravném prostředku, tj.: Proti exekučnímu příkazu není přípustné odvolání.</w:t>
      </w:r>
    </w:p>
    <w:p w:rsidR="00BF09F7" w:rsidRDefault="00BF09F7" w:rsidP="00BF09F7">
      <w:pPr>
        <w:pStyle w:val="Odstavecseseznamem"/>
        <w:spacing w:after="160" w:line="259" w:lineRule="auto"/>
        <w:ind w:left="405"/>
        <w:jc w:val="left"/>
        <w:rPr>
          <w:rFonts w:ascii="Book Antiqua" w:hAnsi="Book Antiqua"/>
        </w:rPr>
      </w:pPr>
    </w:p>
    <w:p w:rsidR="00950DE2" w:rsidRDefault="00950DE2" w:rsidP="00950DE2">
      <w:pPr>
        <w:pStyle w:val="Odstavecseseznamem"/>
        <w:numPr>
          <w:ilvl w:val="0"/>
          <w:numId w:val="8"/>
        </w:numPr>
        <w:spacing w:after="160" w:line="259" w:lineRule="auto"/>
        <w:rPr>
          <w:rFonts w:ascii="Book Antiqua" w:hAnsi="Book Antiqua"/>
        </w:rPr>
      </w:pPr>
      <w:r w:rsidRPr="009669BB">
        <w:rPr>
          <w:rFonts w:ascii="Book Antiqua" w:hAnsi="Book Antiqua"/>
        </w:rPr>
        <w:t xml:space="preserve">Výroky by zásadně neměly být celé tučné! Tučně zvýrazněná má být část jako: zakazuje se, ukládá se apod. </w:t>
      </w:r>
    </w:p>
    <w:p w:rsidR="00950DE2" w:rsidRPr="00A71B07" w:rsidRDefault="00950DE2" w:rsidP="00BF09F7">
      <w:pPr>
        <w:pStyle w:val="Odstavecseseznamem"/>
        <w:spacing w:after="160" w:line="259" w:lineRule="auto"/>
        <w:ind w:left="405"/>
        <w:jc w:val="left"/>
        <w:rPr>
          <w:rFonts w:ascii="Book Antiqua" w:hAnsi="Book Antiqua"/>
        </w:rPr>
      </w:pPr>
    </w:p>
    <w:p w:rsidR="00BF09F7" w:rsidRPr="00BF09F7" w:rsidRDefault="00BF09F7" w:rsidP="00BF09F7">
      <w:pPr>
        <w:pStyle w:val="Odstavecseseznamem"/>
        <w:numPr>
          <w:ilvl w:val="0"/>
          <w:numId w:val="8"/>
        </w:numPr>
        <w:spacing w:after="160" w:line="259" w:lineRule="auto"/>
        <w:rPr>
          <w:rFonts w:ascii="Book Antiqua" w:hAnsi="Book Antiqua"/>
        </w:rPr>
      </w:pPr>
      <w:r>
        <w:rPr>
          <w:rFonts w:ascii="Book Antiqua" w:hAnsi="Book Antiqua"/>
        </w:rPr>
        <w:t xml:space="preserve">V sekci Další informace navrhujeme vypustit bod 3. Vyčíslení vymáhané povinnosti v EP by (s ohledem na podrobné informace ve Výzvě a VYZE) postačovalo </w:t>
      </w:r>
      <w:r w:rsidRPr="009669BB">
        <w:rPr>
          <w:rFonts w:ascii="Book Antiqua" w:hAnsi="Book Antiqua"/>
          <w:b/>
        </w:rPr>
        <w:t>pouze 1 souhrnnou částkou</w:t>
      </w:r>
      <w:r>
        <w:rPr>
          <w:rFonts w:ascii="Book Antiqua" w:hAnsi="Book Antiqua"/>
        </w:rPr>
        <w:t xml:space="preserve">. Tím spíše to platí pro tabulku číslo 2 zde, platí </w:t>
      </w:r>
      <w:r w:rsidRPr="009669BB">
        <w:rPr>
          <w:rFonts w:ascii="Book Antiqua" w:hAnsi="Book Antiqua"/>
        </w:rPr>
        <w:t xml:space="preserve">navíc </w:t>
      </w:r>
      <w:r>
        <w:rPr>
          <w:rFonts w:ascii="Book Antiqua" w:hAnsi="Book Antiqua"/>
        </w:rPr>
        <w:t xml:space="preserve">i </w:t>
      </w:r>
      <w:r w:rsidRPr="009669BB">
        <w:rPr>
          <w:rFonts w:ascii="Book Antiqua" w:hAnsi="Book Antiqua"/>
        </w:rPr>
        <w:t>to, co je uvedeno v připomínkách k</w:t>
      </w:r>
      <w:r>
        <w:rPr>
          <w:rFonts w:ascii="Book Antiqua" w:hAnsi="Book Antiqua"/>
        </w:rPr>
        <w:t> </w:t>
      </w:r>
      <w:r w:rsidRPr="009669BB">
        <w:rPr>
          <w:rFonts w:ascii="Book Antiqua" w:hAnsi="Book Antiqua"/>
        </w:rPr>
        <w:t>Výzvě</w:t>
      </w:r>
      <w:r>
        <w:rPr>
          <w:rFonts w:ascii="Book Antiqua" w:hAnsi="Book Antiqua"/>
        </w:rPr>
        <w:t>.</w:t>
      </w:r>
    </w:p>
    <w:p w:rsidR="00BF09F7" w:rsidRPr="00BF09F7" w:rsidRDefault="00BF09F7" w:rsidP="00BF09F7">
      <w:pPr>
        <w:pStyle w:val="Odstavecseseznamem"/>
        <w:spacing w:after="160" w:line="259" w:lineRule="auto"/>
        <w:ind w:left="405"/>
        <w:rPr>
          <w:rFonts w:ascii="Book Antiqua" w:hAnsi="Book Antiqua"/>
        </w:rPr>
      </w:pPr>
    </w:p>
    <w:p w:rsidR="00BF09F7" w:rsidRDefault="00BF09F7" w:rsidP="00BF09F7">
      <w:pPr>
        <w:pStyle w:val="Odstavecseseznamem"/>
        <w:numPr>
          <w:ilvl w:val="0"/>
          <w:numId w:val="8"/>
        </w:numPr>
        <w:spacing w:after="160" w:line="259" w:lineRule="auto"/>
        <w:rPr>
          <w:rFonts w:ascii="Book Antiqua" w:hAnsi="Book Antiqua"/>
        </w:rPr>
      </w:pPr>
      <w:r>
        <w:rPr>
          <w:rFonts w:ascii="Book Antiqua" w:hAnsi="Book Antiqua"/>
        </w:rPr>
        <w:t>V</w:t>
      </w:r>
      <w:r w:rsidRPr="00637748">
        <w:rPr>
          <w:rFonts w:ascii="Book Antiqua" w:hAnsi="Book Antiqua"/>
        </w:rPr>
        <w:t xml:space="preserve"> úvodní tabulce je zcela zbytečné duplicitně uvádět </w:t>
      </w:r>
      <w:r>
        <w:rPr>
          <w:rFonts w:ascii="Book Antiqua" w:hAnsi="Book Antiqua"/>
        </w:rPr>
        <w:t>údaje o ŘP - toto je již ve výrocích.</w:t>
      </w:r>
    </w:p>
    <w:p w:rsidR="00BF09F7" w:rsidRPr="00BF09F7" w:rsidRDefault="00BF09F7" w:rsidP="00BF09F7">
      <w:pPr>
        <w:pStyle w:val="Odstavecseseznamem"/>
        <w:rPr>
          <w:rFonts w:ascii="Book Antiqua" w:hAnsi="Book Antiqua"/>
        </w:rPr>
      </w:pPr>
    </w:p>
    <w:p w:rsidR="00BF09F7" w:rsidRPr="00BF09F7" w:rsidRDefault="00BF09F7" w:rsidP="00BF09F7">
      <w:pPr>
        <w:pStyle w:val="Odstavecseseznamem"/>
        <w:numPr>
          <w:ilvl w:val="0"/>
          <w:numId w:val="8"/>
        </w:numPr>
        <w:spacing w:after="160" w:line="259" w:lineRule="auto"/>
        <w:rPr>
          <w:rFonts w:ascii="Book Antiqua" w:hAnsi="Book Antiqua"/>
        </w:rPr>
      </w:pPr>
      <w:r>
        <w:rPr>
          <w:rFonts w:ascii="Book Antiqua" w:hAnsi="Book Antiqua"/>
        </w:rPr>
        <w:t>„Další informace“ v bodu 2 budou muset být upraveny („</w:t>
      </w:r>
      <w:r w:rsidRPr="00BF09F7">
        <w:rPr>
          <w:rFonts w:ascii="Book Antiqua" w:hAnsi="Book Antiqua"/>
        </w:rPr>
        <w:t xml:space="preserve">výživného na </w:t>
      </w:r>
      <w:r w:rsidRPr="00BF09F7">
        <w:rPr>
          <w:rFonts w:ascii="Book Antiqua" w:hAnsi="Book Antiqua"/>
          <w:u w:val="single"/>
        </w:rPr>
        <w:t xml:space="preserve">nezletilé </w:t>
      </w:r>
      <w:r w:rsidRPr="00BF09F7">
        <w:rPr>
          <w:rFonts w:ascii="Book Antiqua" w:hAnsi="Book Antiqua"/>
        </w:rPr>
        <w:t>dítě“</w:t>
      </w:r>
      <w:r>
        <w:rPr>
          <w:rFonts w:ascii="Book Antiqua" w:hAnsi="Book Antiqua"/>
        </w:rPr>
        <w:t>) s ohledem na schválenou změnu – rozšíření i na zletilé, nezaopatřené děti (viz ST 238)</w:t>
      </w:r>
    </w:p>
    <w:p w:rsidR="003C330E" w:rsidRPr="003C330E" w:rsidRDefault="003C330E" w:rsidP="003C330E">
      <w:pPr>
        <w:pStyle w:val="Odstavecseseznamem"/>
        <w:ind w:left="1080"/>
        <w:rPr>
          <w:rFonts w:ascii="Book Antiqua" w:hAnsi="Book Antiqua"/>
        </w:rPr>
      </w:pPr>
    </w:p>
    <w:p w:rsidR="003C330E" w:rsidRPr="00AD2FC3" w:rsidRDefault="003C330E" w:rsidP="003C330E">
      <w:pPr>
        <w:pStyle w:val="Odstavecseseznamem"/>
        <w:numPr>
          <w:ilvl w:val="0"/>
          <w:numId w:val="13"/>
        </w:numPr>
        <w:rPr>
          <w:rFonts w:ascii="Book Antiqua" w:hAnsi="Book Antiqua"/>
          <w:u w:val="single"/>
        </w:rPr>
      </w:pPr>
      <w:r w:rsidRPr="00AD2FC3">
        <w:rPr>
          <w:rFonts w:ascii="Book Antiqua" w:hAnsi="Book Antiqua"/>
          <w:u w:val="single"/>
        </w:rPr>
        <w:t>Ke vzoru EP – vyklizení</w:t>
      </w:r>
    </w:p>
    <w:p w:rsidR="003C330E" w:rsidRPr="00AD2FC3" w:rsidRDefault="003C330E" w:rsidP="00AD2FC3">
      <w:pPr>
        <w:rPr>
          <w:rFonts w:ascii="Book Antiqua" w:hAnsi="Book Antiqua"/>
        </w:rPr>
      </w:pPr>
    </w:p>
    <w:p w:rsidR="00AD2FC3" w:rsidRPr="004C5181" w:rsidRDefault="00AD2FC3" w:rsidP="00AD2FC3">
      <w:pPr>
        <w:pStyle w:val="Odstavecseseznamem"/>
        <w:numPr>
          <w:ilvl w:val="0"/>
          <w:numId w:val="8"/>
        </w:numPr>
        <w:rPr>
          <w:rFonts w:ascii="Book Antiqua" w:hAnsi="Book Antiqua"/>
        </w:rPr>
      </w:pPr>
      <w:r w:rsidRPr="004C5181">
        <w:rPr>
          <w:rFonts w:ascii="Book Antiqua" w:hAnsi="Book Antiqua"/>
        </w:rPr>
        <w:t>údaj o právním zastoupení (u POV i OPR) by měl být v záhlaví v druhém a nikoliv prvním sloupci, který pouze identifikuje údaj uvedený v řádku</w:t>
      </w:r>
    </w:p>
    <w:p w:rsidR="00AD2FC3" w:rsidRPr="0040737C" w:rsidRDefault="00AD2FC3" w:rsidP="00AD2FC3">
      <w:pPr>
        <w:pStyle w:val="Odstavecseseznamem"/>
        <w:ind w:left="405"/>
        <w:rPr>
          <w:rFonts w:ascii="Book Antiqua" w:hAnsi="Book Antiqua"/>
        </w:rPr>
      </w:pPr>
    </w:p>
    <w:p w:rsidR="00AD2FC3" w:rsidRPr="004C5181" w:rsidRDefault="00AD2FC3" w:rsidP="00AD2FC3">
      <w:pPr>
        <w:pStyle w:val="Odstavecseseznamem"/>
        <w:numPr>
          <w:ilvl w:val="0"/>
          <w:numId w:val="8"/>
        </w:numPr>
        <w:spacing w:after="160" w:line="259" w:lineRule="auto"/>
        <w:rPr>
          <w:rFonts w:ascii="Book Antiqua" w:hAnsi="Book Antiqua"/>
        </w:rPr>
      </w:pPr>
      <w:r>
        <w:rPr>
          <w:rFonts w:ascii="Book Antiqua" w:hAnsi="Book Antiqua"/>
        </w:rPr>
        <w:t>p</w:t>
      </w:r>
      <w:r w:rsidRPr="004C5181">
        <w:rPr>
          <w:rFonts w:ascii="Book Antiqua" w:hAnsi="Book Antiqua"/>
        </w:rPr>
        <w:t>oučení slovy zákona (§ 48 písm. h) by mělo být o odvolání ne o všeobecném opravném prostředku, tj.: Proti exekučnímu příkazu není přípustné odvolání.</w:t>
      </w:r>
    </w:p>
    <w:p w:rsidR="00AD2FC3" w:rsidRPr="009669BB" w:rsidRDefault="00AD2FC3" w:rsidP="00AD2FC3">
      <w:pPr>
        <w:pStyle w:val="Odstavecseseznamem"/>
        <w:rPr>
          <w:rFonts w:ascii="Book Antiqua" w:hAnsi="Book Antiqua"/>
        </w:rPr>
      </w:pPr>
    </w:p>
    <w:p w:rsidR="00AD2FC3" w:rsidRPr="00AD2FC3" w:rsidRDefault="00AD2FC3" w:rsidP="00AD2FC3">
      <w:pPr>
        <w:pStyle w:val="Odstavecseseznamem"/>
        <w:numPr>
          <w:ilvl w:val="0"/>
          <w:numId w:val="8"/>
        </w:numPr>
        <w:spacing w:after="160" w:line="259" w:lineRule="auto"/>
        <w:rPr>
          <w:rFonts w:ascii="Book Antiqua" w:hAnsi="Book Antiqua"/>
        </w:rPr>
      </w:pPr>
      <w:r>
        <w:rPr>
          <w:rFonts w:ascii="Book Antiqua" w:hAnsi="Book Antiqua"/>
        </w:rPr>
        <w:t>v</w:t>
      </w:r>
      <w:r w:rsidRPr="004C5181">
        <w:rPr>
          <w:rFonts w:ascii="Book Antiqua" w:hAnsi="Book Antiqua"/>
        </w:rPr>
        <w:t xml:space="preserve">ýroky by zásadně neměly být celé tučné! Tučně zvýrazněná má být část jako: zakazuje se, ukládá se apod. </w:t>
      </w:r>
    </w:p>
    <w:p w:rsidR="00AD2FC3" w:rsidRPr="00AD2FC3" w:rsidRDefault="00AD2FC3" w:rsidP="00AD2FC3">
      <w:pPr>
        <w:pStyle w:val="Odstavecseseznamem"/>
        <w:spacing w:after="160" w:line="259" w:lineRule="auto"/>
        <w:ind w:left="405"/>
        <w:rPr>
          <w:rFonts w:ascii="Book Antiqua" w:hAnsi="Book Antiqua"/>
        </w:rPr>
      </w:pPr>
    </w:p>
    <w:p w:rsidR="002D3FE6" w:rsidRPr="002D3FE6" w:rsidRDefault="00AD2FC3" w:rsidP="002D3FE6">
      <w:pPr>
        <w:pStyle w:val="Odstavecseseznamem"/>
        <w:numPr>
          <w:ilvl w:val="0"/>
          <w:numId w:val="8"/>
        </w:numPr>
        <w:spacing w:after="160" w:line="259" w:lineRule="auto"/>
        <w:rPr>
          <w:rFonts w:ascii="Book Antiqua" w:hAnsi="Book Antiqua"/>
        </w:rPr>
      </w:pPr>
      <w:r>
        <w:rPr>
          <w:rFonts w:ascii="Book Antiqua" w:hAnsi="Book Antiqua"/>
        </w:rPr>
        <w:t>V</w:t>
      </w:r>
      <w:r w:rsidRPr="00637748">
        <w:rPr>
          <w:rFonts w:ascii="Book Antiqua" w:hAnsi="Book Antiqua"/>
        </w:rPr>
        <w:t xml:space="preserve"> úvodní tabulce je zcela zbytečné duplicitně uvádět označení </w:t>
      </w:r>
      <w:r>
        <w:rPr>
          <w:rFonts w:ascii="Book Antiqua" w:hAnsi="Book Antiqua"/>
        </w:rPr>
        <w:t>vyklizované nemovitosti, místnosti - toto je již ve výrocích.</w:t>
      </w:r>
      <w:r w:rsidR="002D3FE6" w:rsidRPr="002D3FE6">
        <w:rPr>
          <w:rFonts w:ascii="Book Antiqua" w:hAnsi="Book Antiqua"/>
        </w:rPr>
        <w:t xml:space="preserve"> </w:t>
      </w:r>
      <w:r w:rsidR="002D3FE6">
        <w:rPr>
          <w:rFonts w:ascii="Book Antiqua" w:hAnsi="Book Antiqua"/>
        </w:rPr>
        <w:t>Dtto pro pole „vymáhaná nepeněžitá povinnost“.</w:t>
      </w:r>
    </w:p>
    <w:p w:rsidR="002D3FE6" w:rsidRPr="002D3FE6" w:rsidRDefault="002D3FE6" w:rsidP="002D3FE6">
      <w:pPr>
        <w:pStyle w:val="Odstavecseseznamem"/>
        <w:spacing w:after="160" w:line="259" w:lineRule="auto"/>
        <w:ind w:left="405"/>
        <w:rPr>
          <w:rFonts w:ascii="Book Antiqua" w:hAnsi="Book Antiqua"/>
        </w:rPr>
      </w:pPr>
    </w:p>
    <w:p w:rsidR="00AD2FC3" w:rsidRDefault="00AD2FC3" w:rsidP="00AD2FC3">
      <w:pPr>
        <w:pStyle w:val="Odstavecseseznamem"/>
        <w:numPr>
          <w:ilvl w:val="0"/>
          <w:numId w:val="8"/>
        </w:numPr>
        <w:rPr>
          <w:rFonts w:ascii="Book Antiqua" w:hAnsi="Book Antiqua"/>
        </w:rPr>
      </w:pPr>
      <w:r>
        <w:rPr>
          <w:rFonts w:ascii="Book Antiqua" w:hAnsi="Book Antiqua"/>
        </w:rPr>
        <w:t>s ohledem na předpokládanou renesanci Vyklizení s náhradou (ST 987), které s ohledem na znění § 37 odst. 2 EŘ budou moct opět provádět i soudní exekutoři, se jeví jako vhodné připravit zvláštní vzor na vyklizení s náhradou, příp. stávající vzor upravit</w:t>
      </w:r>
    </w:p>
    <w:p w:rsidR="003C330E" w:rsidRPr="003C330E" w:rsidRDefault="003C330E" w:rsidP="003C330E">
      <w:pPr>
        <w:pStyle w:val="Odstavecseseznamem"/>
        <w:ind w:left="1080"/>
        <w:rPr>
          <w:rFonts w:ascii="Book Antiqua" w:hAnsi="Book Antiqua"/>
        </w:rPr>
      </w:pPr>
    </w:p>
    <w:p w:rsidR="003C330E" w:rsidRPr="00FE396A" w:rsidRDefault="003C330E" w:rsidP="003C330E">
      <w:pPr>
        <w:pStyle w:val="Odstavecseseznamem"/>
        <w:numPr>
          <w:ilvl w:val="0"/>
          <w:numId w:val="13"/>
        </w:numPr>
        <w:rPr>
          <w:rFonts w:ascii="Book Antiqua" w:hAnsi="Book Antiqua"/>
          <w:u w:val="single"/>
        </w:rPr>
      </w:pPr>
      <w:r w:rsidRPr="00FE396A">
        <w:rPr>
          <w:rFonts w:ascii="Book Antiqua" w:hAnsi="Book Antiqua"/>
          <w:u w:val="single"/>
        </w:rPr>
        <w:t>Ke vzoru EP – odebrání věci</w:t>
      </w:r>
    </w:p>
    <w:p w:rsidR="003C330E" w:rsidRDefault="003C330E" w:rsidP="003C330E">
      <w:pPr>
        <w:pStyle w:val="Odstavecseseznamem"/>
        <w:ind w:left="1080"/>
        <w:rPr>
          <w:rFonts w:ascii="Book Antiqua" w:hAnsi="Book Antiqua"/>
        </w:rPr>
      </w:pPr>
    </w:p>
    <w:p w:rsidR="00AD2FC3" w:rsidRPr="004C5181" w:rsidRDefault="00AD2FC3" w:rsidP="00AD2FC3">
      <w:pPr>
        <w:pStyle w:val="Odstavecseseznamem"/>
        <w:numPr>
          <w:ilvl w:val="0"/>
          <w:numId w:val="8"/>
        </w:numPr>
        <w:rPr>
          <w:rFonts w:ascii="Book Antiqua" w:hAnsi="Book Antiqua"/>
        </w:rPr>
      </w:pPr>
      <w:r w:rsidRPr="004C5181">
        <w:rPr>
          <w:rFonts w:ascii="Book Antiqua" w:hAnsi="Book Antiqua"/>
        </w:rPr>
        <w:t>údaj o právním zastoupení (u POV i OPR) by měl být v záhlaví v druhém a nikoliv prvním sloupci, který pouze identifikuje údaj uvedený v řádku</w:t>
      </w:r>
    </w:p>
    <w:p w:rsidR="00AD2FC3" w:rsidRPr="0040737C" w:rsidRDefault="00AD2FC3" w:rsidP="00AD2FC3">
      <w:pPr>
        <w:pStyle w:val="Odstavecseseznamem"/>
        <w:ind w:left="405"/>
        <w:rPr>
          <w:rFonts w:ascii="Book Antiqua" w:hAnsi="Book Antiqua"/>
        </w:rPr>
      </w:pPr>
    </w:p>
    <w:p w:rsidR="00AD2FC3" w:rsidRPr="004C5181" w:rsidRDefault="00AD2FC3" w:rsidP="00AD2FC3">
      <w:pPr>
        <w:pStyle w:val="Odstavecseseznamem"/>
        <w:numPr>
          <w:ilvl w:val="0"/>
          <w:numId w:val="8"/>
        </w:numPr>
        <w:spacing w:after="160" w:line="259" w:lineRule="auto"/>
        <w:rPr>
          <w:rFonts w:ascii="Book Antiqua" w:hAnsi="Book Antiqua"/>
        </w:rPr>
      </w:pPr>
      <w:r>
        <w:rPr>
          <w:rFonts w:ascii="Book Antiqua" w:hAnsi="Book Antiqua"/>
        </w:rPr>
        <w:t>p</w:t>
      </w:r>
      <w:r w:rsidRPr="004C5181">
        <w:rPr>
          <w:rFonts w:ascii="Book Antiqua" w:hAnsi="Book Antiqua"/>
        </w:rPr>
        <w:t>oučení slovy zákona (§ 48 písm. h) by mělo být o odvolání ne o všeobecném opravném prostředku, tj.: Proti exekučnímu příkazu není přípustné odvolání.</w:t>
      </w:r>
    </w:p>
    <w:p w:rsidR="00AD2FC3" w:rsidRPr="009669BB" w:rsidRDefault="00AD2FC3" w:rsidP="00AD2FC3">
      <w:pPr>
        <w:pStyle w:val="Odstavecseseznamem"/>
        <w:rPr>
          <w:rFonts w:ascii="Book Antiqua" w:hAnsi="Book Antiqua"/>
        </w:rPr>
      </w:pPr>
    </w:p>
    <w:p w:rsidR="00AD2FC3" w:rsidRPr="00AD2FC3" w:rsidRDefault="00AD2FC3" w:rsidP="00AD2FC3">
      <w:pPr>
        <w:pStyle w:val="Odstavecseseznamem"/>
        <w:numPr>
          <w:ilvl w:val="0"/>
          <w:numId w:val="8"/>
        </w:numPr>
        <w:spacing w:after="160" w:line="259" w:lineRule="auto"/>
        <w:rPr>
          <w:rFonts w:ascii="Book Antiqua" w:hAnsi="Book Antiqua"/>
        </w:rPr>
      </w:pPr>
      <w:r>
        <w:rPr>
          <w:rFonts w:ascii="Book Antiqua" w:hAnsi="Book Antiqua"/>
        </w:rPr>
        <w:t>v</w:t>
      </w:r>
      <w:r w:rsidRPr="004C5181">
        <w:rPr>
          <w:rFonts w:ascii="Book Antiqua" w:hAnsi="Book Antiqua"/>
        </w:rPr>
        <w:t xml:space="preserve">ýroky by zásadně neměly být celé tučné! Tučně zvýrazněná má být část jako: zakazuje se, ukládá se apod. </w:t>
      </w:r>
    </w:p>
    <w:p w:rsidR="00AD2FC3" w:rsidRPr="00AD2FC3" w:rsidRDefault="00AD2FC3" w:rsidP="00AD2FC3">
      <w:pPr>
        <w:pStyle w:val="Odstavecseseznamem"/>
        <w:spacing w:after="160" w:line="259" w:lineRule="auto"/>
        <w:ind w:left="405"/>
        <w:rPr>
          <w:rFonts w:ascii="Book Antiqua" w:hAnsi="Book Antiqua"/>
        </w:rPr>
      </w:pPr>
    </w:p>
    <w:p w:rsidR="00FE396A" w:rsidRPr="00FE396A" w:rsidRDefault="00FE396A" w:rsidP="00FE396A">
      <w:pPr>
        <w:pStyle w:val="Odstavecseseznamem"/>
        <w:numPr>
          <w:ilvl w:val="0"/>
          <w:numId w:val="8"/>
        </w:numPr>
        <w:spacing w:after="160" w:line="259" w:lineRule="auto"/>
        <w:rPr>
          <w:rFonts w:ascii="Book Antiqua" w:hAnsi="Book Antiqua"/>
        </w:rPr>
      </w:pPr>
      <w:r w:rsidRPr="00FE396A">
        <w:rPr>
          <w:rFonts w:ascii="Book Antiqua" w:hAnsi="Book Antiqua"/>
        </w:rPr>
        <w:t>v</w:t>
      </w:r>
      <w:r w:rsidR="00AD2FC3" w:rsidRPr="00FE396A">
        <w:rPr>
          <w:rFonts w:ascii="Book Antiqua" w:hAnsi="Book Antiqua"/>
        </w:rPr>
        <w:t> úvodní tabulce je zcela zbytečné duplicitně uvádět označení odebírané věci - toto je již ve výrocích.</w:t>
      </w:r>
      <w:r w:rsidRPr="00FE396A">
        <w:rPr>
          <w:rFonts w:ascii="Book Antiqua" w:hAnsi="Book Antiqua"/>
        </w:rPr>
        <w:t xml:space="preserve"> </w:t>
      </w:r>
      <w:r>
        <w:rPr>
          <w:rFonts w:ascii="Book Antiqua" w:hAnsi="Book Antiqua"/>
        </w:rPr>
        <w:t>Dtto pro pole „vymáhaná nepeněžitá povinnost“.</w:t>
      </w:r>
    </w:p>
    <w:p w:rsidR="00AD2FC3" w:rsidRPr="00AD2FC3" w:rsidRDefault="00AD2FC3" w:rsidP="00AD2FC3">
      <w:pPr>
        <w:pStyle w:val="Odstavecseseznamem"/>
        <w:spacing w:after="160" w:line="259" w:lineRule="auto"/>
        <w:ind w:left="405"/>
        <w:rPr>
          <w:rFonts w:ascii="Book Antiqua" w:hAnsi="Book Antiqua"/>
        </w:rPr>
      </w:pPr>
    </w:p>
    <w:p w:rsidR="00AD2FC3" w:rsidRDefault="00AD2FC3" w:rsidP="00AD2FC3">
      <w:pPr>
        <w:pStyle w:val="Odstavecseseznamem"/>
        <w:numPr>
          <w:ilvl w:val="0"/>
          <w:numId w:val="8"/>
        </w:numPr>
        <w:rPr>
          <w:rFonts w:ascii="Book Antiqua" w:hAnsi="Book Antiqua"/>
        </w:rPr>
      </w:pPr>
      <w:r>
        <w:rPr>
          <w:rFonts w:ascii="Book Antiqua" w:hAnsi="Book Antiqua"/>
        </w:rPr>
        <w:t xml:space="preserve">V doplňujících informacích by bylo vhodné dodat informace o § 345 odst. 4 OSŘ a upozornit tak na možnost zjednání přístupu k věci. </w:t>
      </w:r>
    </w:p>
    <w:p w:rsidR="003C330E" w:rsidRPr="00FE396A" w:rsidRDefault="003C330E" w:rsidP="00FE396A">
      <w:pPr>
        <w:rPr>
          <w:rFonts w:ascii="Book Antiqua" w:hAnsi="Book Antiqua"/>
        </w:rPr>
      </w:pPr>
    </w:p>
    <w:p w:rsidR="003C330E" w:rsidRPr="00B17EAC" w:rsidRDefault="003C330E" w:rsidP="003C330E">
      <w:pPr>
        <w:pStyle w:val="Odstavecseseznamem"/>
        <w:numPr>
          <w:ilvl w:val="0"/>
          <w:numId w:val="13"/>
        </w:numPr>
        <w:rPr>
          <w:rFonts w:ascii="Book Antiqua" w:hAnsi="Book Antiqua"/>
          <w:u w:val="single"/>
        </w:rPr>
      </w:pPr>
      <w:r w:rsidRPr="00B17EAC">
        <w:rPr>
          <w:rFonts w:ascii="Book Antiqua" w:hAnsi="Book Antiqua"/>
          <w:u w:val="single"/>
        </w:rPr>
        <w:t xml:space="preserve">Ke vzoru EP – rozdělení I – III. </w:t>
      </w:r>
    </w:p>
    <w:p w:rsidR="003C330E" w:rsidRDefault="003C330E" w:rsidP="003C330E">
      <w:pPr>
        <w:rPr>
          <w:rFonts w:ascii="Book Antiqua" w:hAnsi="Book Antiqua"/>
        </w:rPr>
      </w:pPr>
    </w:p>
    <w:p w:rsidR="00B17EAC" w:rsidRDefault="00B17EAC" w:rsidP="00B17EAC">
      <w:pPr>
        <w:pStyle w:val="Odstavecseseznamem"/>
        <w:numPr>
          <w:ilvl w:val="0"/>
          <w:numId w:val="8"/>
        </w:numPr>
        <w:rPr>
          <w:rFonts w:ascii="Book Antiqua" w:hAnsi="Book Antiqua"/>
        </w:rPr>
      </w:pPr>
      <w:r w:rsidRPr="008C70B3">
        <w:rPr>
          <w:rFonts w:ascii="Book Antiqua" w:hAnsi="Book Antiqua"/>
        </w:rPr>
        <w:t>údaj o právním zastoupení (u POV i OPR) by měl být v záhlaví v druhém a nikoliv prvním sloupci, který pouze identifikuje údaj uvedený v</w:t>
      </w:r>
      <w:r>
        <w:rPr>
          <w:rFonts w:ascii="Book Antiqua" w:hAnsi="Book Antiqua"/>
        </w:rPr>
        <w:t> </w:t>
      </w:r>
      <w:r w:rsidRPr="008C70B3">
        <w:rPr>
          <w:rFonts w:ascii="Book Antiqua" w:hAnsi="Book Antiqua"/>
        </w:rPr>
        <w:t>řádku</w:t>
      </w:r>
    </w:p>
    <w:p w:rsidR="00B17EAC" w:rsidRPr="00BF09F7" w:rsidRDefault="00B17EAC" w:rsidP="00B17EAC">
      <w:pPr>
        <w:pStyle w:val="Odstavecseseznamem"/>
        <w:ind w:left="405"/>
        <w:rPr>
          <w:rFonts w:ascii="Book Antiqua" w:hAnsi="Book Antiqua"/>
        </w:rPr>
      </w:pPr>
    </w:p>
    <w:p w:rsidR="00B17EAC" w:rsidRPr="00A71B07" w:rsidRDefault="00B17EAC" w:rsidP="00B17EAC">
      <w:pPr>
        <w:pStyle w:val="Odstavecseseznamem"/>
        <w:numPr>
          <w:ilvl w:val="0"/>
          <w:numId w:val="8"/>
        </w:numPr>
        <w:spacing w:after="160" w:line="259" w:lineRule="auto"/>
        <w:jc w:val="left"/>
        <w:rPr>
          <w:rFonts w:ascii="Book Antiqua" w:hAnsi="Book Antiqua"/>
        </w:rPr>
      </w:pPr>
      <w:r w:rsidRPr="009669BB">
        <w:rPr>
          <w:rFonts w:ascii="Book Antiqua" w:hAnsi="Book Antiqua"/>
        </w:rPr>
        <w:t>Poučení slovy zákona (§ 48 písm. h) by mělo být o odvolání ne o všeobecném opravném prostředku, tj.: Proti exekučnímu příkazu není přípustné odvolání.</w:t>
      </w:r>
    </w:p>
    <w:p w:rsidR="00B17EAC" w:rsidRDefault="00B17EAC" w:rsidP="00B17EAC">
      <w:pPr>
        <w:pStyle w:val="Odstavecseseznamem"/>
        <w:spacing w:after="160" w:line="259" w:lineRule="auto"/>
        <w:ind w:left="405"/>
        <w:jc w:val="left"/>
        <w:rPr>
          <w:rFonts w:ascii="Book Antiqua" w:hAnsi="Book Antiqua"/>
        </w:rPr>
      </w:pPr>
    </w:p>
    <w:p w:rsidR="00B17EAC" w:rsidRDefault="00B17EAC" w:rsidP="00B17EAC">
      <w:pPr>
        <w:pStyle w:val="Odstavecseseznamem"/>
        <w:numPr>
          <w:ilvl w:val="0"/>
          <w:numId w:val="8"/>
        </w:numPr>
        <w:spacing w:after="160" w:line="259" w:lineRule="auto"/>
        <w:rPr>
          <w:rFonts w:ascii="Book Antiqua" w:hAnsi="Book Antiqua"/>
        </w:rPr>
      </w:pPr>
      <w:r w:rsidRPr="009669BB">
        <w:rPr>
          <w:rFonts w:ascii="Book Antiqua" w:hAnsi="Book Antiqua"/>
        </w:rPr>
        <w:t xml:space="preserve">Výroky by zásadně neměly být celé tučné! Tučně zvýrazněná má být část jako: zakazuje se, ukládá se apod. </w:t>
      </w:r>
    </w:p>
    <w:p w:rsidR="00B17EAC" w:rsidRPr="00B17EAC" w:rsidRDefault="00B17EAC" w:rsidP="00B17EAC">
      <w:pPr>
        <w:pStyle w:val="Odstavecseseznamem"/>
        <w:rPr>
          <w:rFonts w:ascii="Book Antiqua" w:hAnsi="Book Antiqua"/>
        </w:rPr>
      </w:pPr>
    </w:p>
    <w:p w:rsidR="008D2B1E" w:rsidRDefault="00B17EAC" w:rsidP="008D2B1E">
      <w:pPr>
        <w:pStyle w:val="Odstavecseseznamem"/>
        <w:numPr>
          <w:ilvl w:val="0"/>
          <w:numId w:val="8"/>
        </w:numPr>
        <w:spacing w:after="160" w:line="259" w:lineRule="auto"/>
        <w:rPr>
          <w:rFonts w:ascii="Book Antiqua" w:hAnsi="Book Antiqua"/>
        </w:rPr>
      </w:pPr>
      <w:r>
        <w:rPr>
          <w:rFonts w:ascii="Book Antiqua" w:hAnsi="Book Antiqua"/>
        </w:rPr>
        <w:t>Je zbytečné duplicitní uvedení rozdělované věci v tabulce, toto je uvedeno již ve výroku. Dtto pro pole „vymáhaná nepeněžitá povinnost“.</w:t>
      </w:r>
    </w:p>
    <w:p w:rsidR="008D2B1E" w:rsidRDefault="008D2B1E" w:rsidP="008D2B1E">
      <w:pPr>
        <w:pStyle w:val="Odstavecseseznamem"/>
      </w:pPr>
    </w:p>
    <w:p w:rsidR="00B17EAC" w:rsidRPr="008D2B1E" w:rsidRDefault="008D2B1E" w:rsidP="008D2B1E">
      <w:pPr>
        <w:pStyle w:val="Odstavecseseznamem"/>
        <w:numPr>
          <w:ilvl w:val="0"/>
          <w:numId w:val="8"/>
        </w:numPr>
        <w:spacing w:after="160" w:line="259" w:lineRule="auto"/>
        <w:rPr>
          <w:rFonts w:ascii="Book Antiqua" w:hAnsi="Book Antiqua"/>
        </w:rPr>
      </w:pPr>
      <w:r w:rsidRPr="008D2B1E">
        <w:rPr>
          <w:rFonts w:ascii="Book Antiqua" w:hAnsi="Book Antiqua"/>
        </w:rPr>
        <w:t xml:space="preserve">ve variantním </w:t>
      </w:r>
      <w:r w:rsidR="00B17EAC" w:rsidRPr="008D2B1E">
        <w:rPr>
          <w:rFonts w:ascii="Book Antiqua" w:hAnsi="Book Antiqua"/>
        </w:rPr>
        <w:t xml:space="preserve">poučení o možnosti </w:t>
      </w:r>
      <w:r w:rsidRPr="008D2B1E">
        <w:rPr>
          <w:rFonts w:ascii="Book Antiqua" w:hAnsi="Book Antiqua"/>
        </w:rPr>
        <w:t xml:space="preserve">manžela povinného </w:t>
      </w:r>
      <w:r w:rsidR="00B17EAC" w:rsidRPr="008D2B1E">
        <w:rPr>
          <w:rFonts w:ascii="Book Antiqua" w:hAnsi="Book Antiqua"/>
        </w:rPr>
        <w:t>podat návrh na zastavení exekuce – bylo by vhodné uvést odkaz na zákonné ustanovení, podle něhož se manžel může zastavení domáhat (§ 262b OSŘ)</w:t>
      </w:r>
    </w:p>
    <w:p w:rsidR="002D3FE6" w:rsidRPr="00FE396A" w:rsidRDefault="002D3FE6" w:rsidP="003C330E">
      <w:pPr>
        <w:rPr>
          <w:rFonts w:ascii="Book Antiqua" w:hAnsi="Book Antiqua"/>
          <w:u w:val="single"/>
        </w:rPr>
      </w:pPr>
    </w:p>
    <w:p w:rsidR="003C330E" w:rsidRDefault="003C330E" w:rsidP="003C330E">
      <w:pPr>
        <w:pStyle w:val="Odstavecseseznamem"/>
        <w:numPr>
          <w:ilvl w:val="0"/>
          <w:numId w:val="13"/>
        </w:numPr>
        <w:rPr>
          <w:rFonts w:ascii="Book Antiqua" w:hAnsi="Book Antiqua"/>
        </w:rPr>
      </w:pPr>
      <w:r w:rsidRPr="00FE396A">
        <w:rPr>
          <w:rFonts w:ascii="Book Antiqua" w:hAnsi="Book Antiqua"/>
          <w:u w:val="single"/>
        </w:rPr>
        <w:t>Ke vzoru EP – provedení prací a výkonů I</w:t>
      </w:r>
    </w:p>
    <w:p w:rsidR="003C330E" w:rsidRDefault="003C330E" w:rsidP="003C330E">
      <w:pPr>
        <w:pStyle w:val="Odstavecseseznamem"/>
        <w:rPr>
          <w:rFonts w:ascii="Book Antiqua" w:hAnsi="Book Antiqua"/>
        </w:rPr>
      </w:pPr>
    </w:p>
    <w:p w:rsidR="003C330E" w:rsidRDefault="003C330E" w:rsidP="003C330E">
      <w:pPr>
        <w:pStyle w:val="Odstavecseseznamem"/>
        <w:rPr>
          <w:rFonts w:ascii="Book Antiqua" w:hAnsi="Book Antiqua"/>
        </w:rPr>
      </w:pPr>
    </w:p>
    <w:p w:rsidR="00FE396A" w:rsidRPr="004C5181" w:rsidRDefault="00FE396A" w:rsidP="00FE396A">
      <w:pPr>
        <w:pStyle w:val="Odstavecseseznamem"/>
        <w:numPr>
          <w:ilvl w:val="0"/>
          <w:numId w:val="8"/>
        </w:numPr>
        <w:rPr>
          <w:rFonts w:ascii="Book Antiqua" w:hAnsi="Book Antiqua"/>
        </w:rPr>
      </w:pPr>
      <w:r w:rsidRPr="004C5181">
        <w:rPr>
          <w:rFonts w:ascii="Book Antiqua" w:hAnsi="Book Antiqua"/>
        </w:rPr>
        <w:t>údaj o právním zastoupení (u POV i OPR) by měl být v záhlaví v druhém a nikoliv prvním sloupci, který pouze identifikuje údaj uvedený v řádku</w:t>
      </w:r>
    </w:p>
    <w:p w:rsidR="00FE396A" w:rsidRPr="0040737C" w:rsidRDefault="00FE396A" w:rsidP="00FE396A">
      <w:pPr>
        <w:pStyle w:val="Odstavecseseznamem"/>
        <w:ind w:left="405"/>
        <w:rPr>
          <w:rFonts w:ascii="Book Antiqua" w:hAnsi="Book Antiqua"/>
        </w:rPr>
      </w:pPr>
    </w:p>
    <w:p w:rsidR="00FE396A" w:rsidRPr="004C5181" w:rsidRDefault="00FE396A" w:rsidP="00FE396A">
      <w:pPr>
        <w:pStyle w:val="Odstavecseseznamem"/>
        <w:numPr>
          <w:ilvl w:val="0"/>
          <w:numId w:val="8"/>
        </w:numPr>
        <w:spacing w:after="160" w:line="259" w:lineRule="auto"/>
        <w:rPr>
          <w:rFonts w:ascii="Book Antiqua" w:hAnsi="Book Antiqua"/>
        </w:rPr>
      </w:pPr>
      <w:r>
        <w:rPr>
          <w:rFonts w:ascii="Book Antiqua" w:hAnsi="Book Antiqua"/>
        </w:rPr>
        <w:t>p</w:t>
      </w:r>
      <w:r w:rsidRPr="004C5181">
        <w:rPr>
          <w:rFonts w:ascii="Book Antiqua" w:hAnsi="Book Antiqua"/>
        </w:rPr>
        <w:t>oučení slovy zákona (§ 48 písm. h) by mělo být o odvolání ne o všeobecném opravném prostředku, tj.: Proti exekučnímu příkazu není přípustné odvolání.</w:t>
      </w:r>
    </w:p>
    <w:p w:rsidR="00FE396A" w:rsidRPr="009669BB" w:rsidRDefault="00FE396A" w:rsidP="00FE396A">
      <w:pPr>
        <w:pStyle w:val="Odstavecseseznamem"/>
        <w:rPr>
          <w:rFonts w:ascii="Book Antiqua" w:hAnsi="Book Antiqua"/>
        </w:rPr>
      </w:pPr>
    </w:p>
    <w:p w:rsidR="00FE396A" w:rsidRPr="00AD2FC3" w:rsidRDefault="00FE396A" w:rsidP="00FE396A">
      <w:pPr>
        <w:pStyle w:val="Odstavecseseznamem"/>
        <w:numPr>
          <w:ilvl w:val="0"/>
          <w:numId w:val="8"/>
        </w:numPr>
        <w:spacing w:after="160" w:line="259" w:lineRule="auto"/>
        <w:rPr>
          <w:rFonts w:ascii="Book Antiqua" w:hAnsi="Book Antiqua"/>
        </w:rPr>
      </w:pPr>
      <w:r>
        <w:rPr>
          <w:rFonts w:ascii="Book Antiqua" w:hAnsi="Book Antiqua"/>
        </w:rPr>
        <w:t>v</w:t>
      </w:r>
      <w:r w:rsidRPr="004C5181">
        <w:rPr>
          <w:rFonts w:ascii="Book Antiqua" w:hAnsi="Book Antiqua"/>
        </w:rPr>
        <w:t xml:space="preserve">ýroky by zásadně neměly být celé tučné! Tučně zvýrazněná má být část jako: zakazuje se, ukládá se apod. </w:t>
      </w:r>
    </w:p>
    <w:p w:rsidR="00FE396A" w:rsidRPr="00AD2FC3" w:rsidRDefault="00FE396A" w:rsidP="00FE396A">
      <w:pPr>
        <w:pStyle w:val="Odstavecseseznamem"/>
        <w:spacing w:after="160" w:line="259" w:lineRule="auto"/>
        <w:ind w:left="405"/>
        <w:rPr>
          <w:rFonts w:ascii="Book Antiqua" w:hAnsi="Book Antiqua"/>
        </w:rPr>
      </w:pPr>
    </w:p>
    <w:p w:rsidR="00FE396A" w:rsidRPr="00FE396A" w:rsidRDefault="00FE396A" w:rsidP="00FE396A">
      <w:pPr>
        <w:pStyle w:val="Odstavecseseznamem"/>
        <w:numPr>
          <w:ilvl w:val="0"/>
          <w:numId w:val="8"/>
        </w:numPr>
        <w:spacing w:after="160" w:line="259" w:lineRule="auto"/>
        <w:rPr>
          <w:rFonts w:ascii="Book Antiqua" w:hAnsi="Book Antiqua"/>
        </w:rPr>
      </w:pPr>
      <w:r w:rsidRPr="00FE396A">
        <w:rPr>
          <w:rFonts w:ascii="Book Antiqua" w:hAnsi="Book Antiqua"/>
        </w:rPr>
        <w:t xml:space="preserve">v úvodní tabulce je zcela zbytečné duplicitně uvádět označení </w:t>
      </w:r>
      <w:r>
        <w:rPr>
          <w:rFonts w:ascii="Book Antiqua" w:hAnsi="Book Antiqua"/>
        </w:rPr>
        <w:t>prováděné práce (resp. vymáhané povinnosti)</w:t>
      </w:r>
      <w:r w:rsidRPr="00FE396A">
        <w:rPr>
          <w:rFonts w:ascii="Book Antiqua" w:hAnsi="Book Antiqua"/>
        </w:rPr>
        <w:t xml:space="preserve"> - toto je již ve výrocích.</w:t>
      </w:r>
      <w:r>
        <w:rPr>
          <w:rFonts w:ascii="Book Antiqua" w:hAnsi="Book Antiqua"/>
        </w:rPr>
        <w:t xml:space="preserve"> Dtto pro pole „vymáhaná nepeněžitá povinnost“.</w:t>
      </w:r>
    </w:p>
    <w:p w:rsidR="00FE396A" w:rsidRPr="00FE396A" w:rsidRDefault="00FE396A" w:rsidP="00FE396A">
      <w:pPr>
        <w:pStyle w:val="Odstavecseseznamem"/>
        <w:spacing w:after="160" w:line="259" w:lineRule="auto"/>
        <w:ind w:left="405"/>
        <w:rPr>
          <w:rFonts w:ascii="Book Antiqua" w:hAnsi="Book Antiqua"/>
        </w:rPr>
      </w:pPr>
    </w:p>
    <w:p w:rsidR="003C330E" w:rsidRPr="002D3FE6" w:rsidRDefault="00FE396A" w:rsidP="002D3FE6">
      <w:pPr>
        <w:pStyle w:val="Odstavecseseznamem"/>
        <w:numPr>
          <w:ilvl w:val="0"/>
          <w:numId w:val="8"/>
        </w:numPr>
        <w:rPr>
          <w:rFonts w:ascii="Book Antiqua" w:hAnsi="Book Antiqua"/>
        </w:rPr>
      </w:pPr>
      <w:r>
        <w:rPr>
          <w:rFonts w:ascii="Book Antiqua" w:hAnsi="Book Antiqua"/>
        </w:rPr>
        <w:t xml:space="preserve">absentuje fakultativní výrok o možnosti uložit povinnému, aby náklad uhradil předem </w:t>
      </w:r>
    </w:p>
    <w:p w:rsidR="003C330E" w:rsidRPr="003C330E" w:rsidRDefault="003C330E" w:rsidP="003C330E">
      <w:pPr>
        <w:pStyle w:val="Odstavecseseznamem"/>
        <w:rPr>
          <w:rFonts w:ascii="Book Antiqua" w:hAnsi="Book Antiqua"/>
        </w:rPr>
      </w:pPr>
    </w:p>
    <w:p w:rsidR="003C330E" w:rsidRPr="00FE396A" w:rsidRDefault="003C330E" w:rsidP="003C330E">
      <w:pPr>
        <w:pStyle w:val="Odstavecseseznamem"/>
        <w:numPr>
          <w:ilvl w:val="0"/>
          <w:numId w:val="13"/>
        </w:numPr>
        <w:rPr>
          <w:rFonts w:ascii="Book Antiqua" w:hAnsi="Book Antiqua"/>
          <w:u w:val="single"/>
        </w:rPr>
      </w:pPr>
      <w:r w:rsidRPr="00FE396A">
        <w:rPr>
          <w:rFonts w:ascii="Book Antiqua" w:hAnsi="Book Antiqua"/>
          <w:u w:val="single"/>
        </w:rPr>
        <w:t>Ke vzoru EP – provedení prací a výkonů II</w:t>
      </w:r>
    </w:p>
    <w:p w:rsidR="003C330E" w:rsidRDefault="003C330E" w:rsidP="003C330E">
      <w:pPr>
        <w:pStyle w:val="Odstavecseseznamem"/>
        <w:rPr>
          <w:rFonts w:ascii="Book Antiqua" w:hAnsi="Book Antiqua"/>
        </w:rPr>
      </w:pPr>
    </w:p>
    <w:p w:rsidR="00FE396A" w:rsidRPr="004C5181" w:rsidRDefault="00FE396A" w:rsidP="00FE396A">
      <w:pPr>
        <w:pStyle w:val="Odstavecseseznamem"/>
        <w:numPr>
          <w:ilvl w:val="0"/>
          <w:numId w:val="8"/>
        </w:numPr>
        <w:rPr>
          <w:rFonts w:ascii="Book Antiqua" w:hAnsi="Book Antiqua"/>
        </w:rPr>
      </w:pPr>
      <w:r w:rsidRPr="004C5181">
        <w:rPr>
          <w:rFonts w:ascii="Book Antiqua" w:hAnsi="Book Antiqua"/>
        </w:rPr>
        <w:t>údaj o právním zastoupení (u POV i OPR) by měl být v záhlaví v druhém a nikoliv prvním sloupci, který pouze identifikuje údaj uvedený v řádku</w:t>
      </w:r>
    </w:p>
    <w:p w:rsidR="00FE396A" w:rsidRPr="0040737C" w:rsidRDefault="00FE396A" w:rsidP="00FE396A">
      <w:pPr>
        <w:pStyle w:val="Odstavecseseznamem"/>
        <w:ind w:left="405"/>
        <w:rPr>
          <w:rFonts w:ascii="Book Antiqua" w:hAnsi="Book Antiqua"/>
        </w:rPr>
      </w:pPr>
    </w:p>
    <w:p w:rsidR="00FE396A" w:rsidRPr="004C5181" w:rsidRDefault="00FE396A" w:rsidP="00FE396A">
      <w:pPr>
        <w:pStyle w:val="Odstavecseseznamem"/>
        <w:numPr>
          <w:ilvl w:val="0"/>
          <w:numId w:val="8"/>
        </w:numPr>
        <w:spacing w:after="160" w:line="259" w:lineRule="auto"/>
        <w:rPr>
          <w:rFonts w:ascii="Book Antiqua" w:hAnsi="Book Antiqua"/>
        </w:rPr>
      </w:pPr>
      <w:r>
        <w:rPr>
          <w:rFonts w:ascii="Book Antiqua" w:hAnsi="Book Antiqua"/>
        </w:rPr>
        <w:t>p</w:t>
      </w:r>
      <w:r w:rsidRPr="004C5181">
        <w:rPr>
          <w:rFonts w:ascii="Book Antiqua" w:hAnsi="Book Antiqua"/>
        </w:rPr>
        <w:t>oučení slovy zákona (§ 48 písm. h) by mělo být o odvolání ne o všeobecném opravném prostředku, tj.: Proti exekučnímu příkazu není přípustné odvolání.</w:t>
      </w:r>
    </w:p>
    <w:p w:rsidR="00FE396A" w:rsidRPr="009669BB" w:rsidRDefault="00FE396A" w:rsidP="00FE396A">
      <w:pPr>
        <w:pStyle w:val="Odstavecseseznamem"/>
        <w:rPr>
          <w:rFonts w:ascii="Book Antiqua" w:hAnsi="Book Antiqua"/>
        </w:rPr>
      </w:pPr>
    </w:p>
    <w:p w:rsidR="00FE396A" w:rsidRPr="00AD2FC3" w:rsidRDefault="00FE396A" w:rsidP="00FE396A">
      <w:pPr>
        <w:pStyle w:val="Odstavecseseznamem"/>
        <w:numPr>
          <w:ilvl w:val="0"/>
          <w:numId w:val="8"/>
        </w:numPr>
        <w:spacing w:after="160" w:line="259" w:lineRule="auto"/>
        <w:rPr>
          <w:rFonts w:ascii="Book Antiqua" w:hAnsi="Book Antiqua"/>
        </w:rPr>
      </w:pPr>
      <w:r>
        <w:rPr>
          <w:rFonts w:ascii="Book Antiqua" w:hAnsi="Book Antiqua"/>
        </w:rPr>
        <w:t>v</w:t>
      </w:r>
      <w:r w:rsidRPr="004C5181">
        <w:rPr>
          <w:rFonts w:ascii="Book Antiqua" w:hAnsi="Book Antiqua"/>
        </w:rPr>
        <w:t xml:space="preserve">ýroky by zásadně neměly být celé tučné! Tučně zvýrazněná má být část jako: zakazuje se, ukládá se apod. </w:t>
      </w:r>
    </w:p>
    <w:p w:rsidR="00FE396A" w:rsidRPr="00AD2FC3" w:rsidRDefault="00FE396A" w:rsidP="00FE396A">
      <w:pPr>
        <w:pStyle w:val="Odstavecseseznamem"/>
        <w:spacing w:after="160" w:line="259" w:lineRule="auto"/>
        <w:ind w:left="405"/>
        <w:rPr>
          <w:rFonts w:ascii="Book Antiqua" w:hAnsi="Book Antiqua"/>
        </w:rPr>
      </w:pPr>
    </w:p>
    <w:p w:rsidR="002D3FE6" w:rsidRDefault="00FE396A" w:rsidP="002D3FE6">
      <w:pPr>
        <w:pStyle w:val="Odstavecseseznamem"/>
        <w:numPr>
          <w:ilvl w:val="0"/>
          <w:numId w:val="8"/>
        </w:numPr>
        <w:spacing w:after="160" w:line="259" w:lineRule="auto"/>
        <w:rPr>
          <w:rFonts w:ascii="Book Antiqua" w:hAnsi="Book Antiqua"/>
        </w:rPr>
      </w:pPr>
      <w:r w:rsidRPr="00FE396A">
        <w:rPr>
          <w:rFonts w:ascii="Book Antiqua" w:hAnsi="Book Antiqua"/>
        </w:rPr>
        <w:t xml:space="preserve">v úvodní tabulce je zcela zbytečné duplicitně uvádět označení </w:t>
      </w:r>
      <w:r>
        <w:rPr>
          <w:rFonts w:ascii="Book Antiqua" w:hAnsi="Book Antiqua"/>
        </w:rPr>
        <w:t>prováděné práce (resp. vymáhané povinnosti)</w:t>
      </w:r>
      <w:r w:rsidRPr="00FE396A">
        <w:rPr>
          <w:rFonts w:ascii="Book Antiqua" w:hAnsi="Book Antiqua"/>
        </w:rPr>
        <w:t xml:space="preserve"> - toto je již ve výrocích.</w:t>
      </w:r>
      <w:r w:rsidR="002D3FE6">
        <w:rPr>
          <w:rFonts w:ascii="Book Antiqua" w:hAnsi="Book Antiqua"/>
        </w:rPr>
        <w:t xml:space="preserve"> Dtto pro pole „vymáhaná nepeněžitá povinnost“.</w:t>
      </w:r>
    </w:p>
    <w:p w:rsidR="002D3FE6" w:rsidRPr="002D3FE6" w:rsidRDefault="002D3FE6" w:rsidP="002D3FE6">
      <w:pPr>
        <w:pStyle w:val="Odstavecseseznamem"/>
        <w:rPr>
          <w:rFonts w:ascii="Book Antiqua" w:hAnsi="Book Antiqua"/>
        </w:rPr>
      </w:pPr>
    </w:p>
    <w:p w:rsidR="002D3FE6" w:rsidRDefault="002D3FE6" w:rsidP="002D3FE6">
      <w:pPr>
        <w:pStyle w:val="Odstavecseseznamem"/>
        <w:numPr>
          <w:ilvl w:val="0"/>
          <w:numId w:val="8"/>
        </w:numPr>
        <w:spacing w:after="160" w:line="259" w:lineRule="auto"/>
        <w:rPr>
          <w:rFonts w:ascii="Book Antiqua" w:hAnsi="Book Antiqua"/>
        </w:rPr>
      </w:pPr>
      <w:r>
        <w:rPr>
          <w:rFonts w:ascii="Book Antiqua" w:hAnsi="Book Antiqua"/>
        </w:rPr>
        <w:t xml:space="preserve">Výrok II je fakultativní – exekutor nemusí pokutu uložit okamžitě. V takovém případě by ale POV měl být poučen o eventualitě udělení pokuty. </w:t>
      </w:r>
    </w:p>
    <w:p w:rsidR="002D3FE6" w:rsidRDefault="002D3FE6" w:rsidP="002D3FE6">
      <w:pPr>
        <w:pStyle w:val="Odstavecseseznamem"/>
      </w:pPr>
    </w:p>
    <w:p w:rsidR="00AD2FC3" w:rsidRPr="002D3FE6" w:rsidRDefault="00AD2FC3" w:rsidP="002D3FE6">
      <w:pPr>
        <w:pStyle w:val="Odstavecseseznamem"/>
        <w:numPr>
          <w:ilvl w:val="0"/>
          <w:numId w:val="8"/>
        </w:numPr>
        <w:spacing w:after="160" w:line="259" w:lineRule="auto"/>
        <w:rPr>
          <w:rFonts w:ascii="Book Antiqua" w:hAnsi="Book Antiqua"/>
        </w:rPr>
      </w:pPr>
      <w:r w:rsidRPr="002D3FE6">
        <w:rPr>
          <w:rFonts w:ascii="Book Antiqua" w:hAnsi="Book Antiqua"/>
        </w:rPr>
        <w:t xml:space="preserve">Bylo by vhodné </w:t>
      </w:r>
      <w:r w:rsidR="002D3FE6">
        <w:rPr>
          <w:rFonts w:ascii="Book Antiqua" w:hAnsi="Book Antiqua"/>
        </w:rPr>
        <w:t>přímo do textu EP (nikoliv do Dodatečné informace)</w:t>
      </w:r>
      <w:r w:rsidRPr="002D3FE6">
        <w:rPr>
          <w:rFonts w:ascii="Book Antiqua" w:hAnsi="Book Antiqua"/>
        </w:rPr>
        <w:t xml:space="preserve"> zakomponovat, že pokuty až do výše 100 000 Kč mohou být ukládány opakovaně.</w:t>
      </w:r>
    </w:p>
    <w:p w:rsidR="003C330E" w:rsidRPr="002D3FE6" w:rsidRDefault="003C330E" w:rsidP="002D3FE6">
      <w:pPr>
        <w:rPr>
          <w:rFonts w:ascii="Book Antiqua" w:hAnsi="Book Antiqua"/>
        </w:rPr>
      </w:pPr>
    </w:p>
    <w:p w:rsidR="00637748" w:rsidRPr="002D3FE6" w:rsidRDefault="003C330E" w:rsidP="00637748">
      <w:pPr>
        <w:pStyle w:val="Odstavecseseznamem"/>
        <w:numPr>
          <w:ilvl w:val="0"/>
          <w:numId w:val="13"/>
        </w:numPr>
        <w:rPr>
          <w:rFonts w:ascii="Book Antiqua" w:hAnsi="Book Antiqua"/>
          <w:u w:val="single"/>
        </w:rPr>
      </w:pPr>
      <w:r w:rsidRPr="002D3FE6">
        <w:rPr>
          <w:rFonts w:ascii="Book Antiqua" w:hAnsi="Book Antiqua"/>
          <w:u w:val="single"/>
        </w:rPr>
        <w:t>Ke vzoru EP – EZP</w:t>
      </w:r>
    </w:p>
    <w:p w:rsidR="00637748" w:rsidRPr="00637748" w:rsidRDefault="00637748" w:rsidP="00637748">
      <w:pPr>
        <w:pStyle w:val="Odstavecseseznamem"/>
        <w:ind w:left="1080"/>
        <w:rPr>
          <w:rFonts w:ascii="Book Antiqua" w:hAnsi="Book Antiqua"/>
        </w:rPr>
      </w:pPr>
    </w:p>
    <w:p w:rsidR="00637748" w:rsidRDefault="00637748" w:rsidP="00637748">
      <w:pPr>
        <w:pStyle w:val="Odstavecseseznamem"/>
        <w:numPr>
          <w:ilvl w:val="0"/>
          <w:numId w:val="8"/>
        </w:numPr>
        <w:rPr>
          <w:rFonts w:ascii="Book Antiqua" w:hAnsi="Book Antiqua"/>
        </w:rPr>
      </w:pPr>
      <w:r w:rsidRPr="008C70B3">
        <w:rPr>
          <w:rFonts w:ascii="Book Antiqua" w:hAnsi="Book Antiqua"/>
        </w:rPr>
        <w:t>údaj o právním zastoupení (u POV i OPR) by měl být v záhlaví v druhém a nikoliv prvním sloupci, který pouze identifikuje údaj uvedený v</w:t>
      </w:r>
      <w:r>
        <w:rPr>
          <w:rFonts w:ascii="Book Antiqua" w:hAnsi="Book Antiqua"/>
        </w:rPr>
        <w:t> </w:t>
      </w:r>
      <w:r w:rsidRPr="008C70B3">
        <w:rPr>
          <w:rFonts w:ascii="Book Antiqua" w:hAnsi="Book Antiqua"/>
        </w:rPr>
        <w:t>řádku</w:t>
      </w:r>
    </w:p>
    <w:p w:rsidR="00637748" w:rsidRPr="0040737C" w:rsidRDefault="00637748" w:rsidP="00637748">
      <w:pPr>
        <w:pStyle w:val="Odstavecseseznamem"/>
        <w:ind w:left="405"/>
        <w:rPr>
          <w:rFonts w:ascii="Book Antiqua" w:hAnsi="Book Antiqua"/>
        </w:rPr>
      </w:pPr>
    </w:p>
    <w:p w:rsidR="00637748" w:rsidRDefault="00637748" w:rsidP="00637748">
      <w:pPr>
        <w:pStyle w:val="Odstavecseseznamem"/>
        <w:numPr>
          <w:ilvl w:val="0"/>
          <w:numId w:val="8"/>
        </w:numPr>
        <w:spacing w:after="160" w:line="259" w:lineRule="auto"/>
        <w:rPr>
          <w:rFonts w:ascii="Book Antiqua" w:hAnsi="Book Antiqua"/>
        </w:rPr>
      </w:pPr>
      <w:r w:rsidRPr="009669BB">
        <w:rPr>
          <w:rFonts w:ascii="Book Antiqua" w:hAnsi="Book Antiqua"/>
        </w:rPr>
        <w:t>Poučení slovy zákona (§ 48 písm. h) by mělo být o odvolání ne o všeobecném opravném prostředku, tj.: Proti exekučnímu příkazu není přípustné odvolání.</w:t>
      </w:r>
    </w:p>
    <w:p w:rsidR="00637748" w:rsidRPr="009669BB" w:rsidRDefault="00637748" w:rsidP="00637748">
      <w:pPr>
        <w:pStyle w:val="Odstavecseseznamem"/>
        <w:rPr>
          <w:rFonts w:ascii="Book Antiqua" w:hAnsi="Book Antiqua"/>
        </w:rPr>
      </w:pPr>
    </w:p>
    <w:p w:rsidR="00637748" w:rsidRPr="00637748" w:rsidRDefault="00637748" w:rsidP="00637748">
      <w:pPr>
        <w:pStyle w:val="Odstavecseseznamem"/>
        <w:numPr>
          <w:ilvl w:val="0"/>
          <w:numId w:val="8"/>
        </w:numPr>
        <w:spacing w:after="160" w:line="259" w:lineRule="auto"/>
        <w:rPr>
          <w:rFonts w:ascii="Book Antiqua" w:hAnsi="Book Antiqua"/>
        </w:rPr>
      </w:pPr>
      <w:r w:rsidRPr="009669BB">
        <w:rPr>
          <w:rFonts w:ascii="Book Antiqua" w:hAnsi="Book Antiqua"/>
        </w:rPr>
        <w:t xml:space="preserve">Výroky by zásadně neměly být celé tučné! Tučně zvýrazněná má být část jako: zakazuje se, ukládá se apod. </w:t>
      </w:r>
    </w:p>
    <w:p w:rsidR="00637748" w:rsidRPr="00637748" w:rsidRDefault="00637748" w:rsidP="00637748">
      <w:pPr>
        <w:pStyle w:val="Odstavecseseznamem"/>
        <w:spacing w:after="160" w:line="259" w:lineRule="auto"/>
        <w:ind w:left="405"/>
        <w:rPr>
          <w:rFonts w:ascii="Book Antiqua" w:hAnsi="Book Antiqua"/>
        </w:rPr>
      </w:pPr>
    </w:p>
    <w:p w:rsidR="00637748" w:rsidRDefault="00637748" w:rsidP="00637748">
      <w:pPr>
        <w:pStyle w:val="Odstavecseseznamem"/>
        <w:numPr>
          <w:ilvl w:val="0"/>
          <w:numId w:val="8"/>
        </w:numPr>
        <w:spacing w:after="160" w:line="259" w:lineRule="auto"/>
        <w:jc w:val="left"/>
        <w:rPr>
          <w:rFonts w:ascii="Book Antiqua" w:hAnsi="Book Antiqua"/>
        </w:rPr>
      </w:pPr>
      <w:r w:rsidRPr="00637748">
        <w:rPr>
          <w:rFonts w:ascii="Book Antiqua" w:hAnsi="Book Antiqua"/>
        </w:rPr>
        <w:t>V „</w:t>
      </w:r>
      <w:r>
        <w:rPr>
          <w:rFonts w:ascii="Book Antiqua" w:hAnsi="Book Antiqua"/>
        </w:rPr>
        <w:t>d</w:t>
      </w:r>
      <w:r w:rsidR="008B0C6E" w:rsidRPr="00637748">
        <w:rPr>
          <w:rFonts w:ascii="Book Antiqua" w:hAnsi="Book Antiqua"/>
        </w:rPr>
        <w:t>alší informaci</w:t>
      </w:r>
      <w:r w:rsidRPr="00637748">
        <w:rPr>
          <w:rFonts w:ascii="Book Antiqua" w:hAnsi="Book Antiqua"/>
        </w:rPr>
        <w:t>“</w:t>
      </w:r>
      <w:r w:rsidR="008B0C6E" w:rsidRPr="00637748">
        <w:rPr>
          <w:rFonts w:ascii="Book Antiqua" w:hAnsi="Book Antiqua"/>
        </w:rPr>
        <w:t xml:space="preserve"> </w:t>
      </w:r>
      <w:r w:rsidRPr="00637748">
        <w:rPr>
          <w:rFonts w:ascii="Book Antiqua" w:hAnsi="Book Antiqua"/>
        </w:rPr>
        <w:t>by mohla</w:t>
      </w:r>
      <w:r w:rsidR="008B0C6E" w:rsidRPr="00637748">
        <w:rPr>
          <w:rFonts w:ascii="Book Antiqua" w:hAnsi="Book Antiqua"/>
        </w:rPr>
        <w:t xml:space="preserve"> být uveden</w:t>
      </w:r>
      <w:r w:rsidRPr="00637748">
        <w:rPr>
          <w:rFonts w:ascii="Book Antiqua" w:hAnsi="Book Antiqua"/>
        </w:rPr>
        <w:t xml:space="preserve">a </w:t>
      </w:r>
      <w:r w:rsidR="008B0C6E" w:rsidRPr="00637748">
        <w:rPr>
          <w:rFonts w:ascii="Book Antiqua" w:hAnsi="Book Antiqua"/>
        </w:rPr>
        <w:t xml:space="preserve">informace o tom, že návrh na odklad nelze podat (§ 73a odst. 4 EŘ) </w:t>
      </w:r>
    </w:p>
    <w:p w:rsidR="00637748" w:rsidRPr="00637748" w:rsidRDefault="00637748" w:rsidP="00637748">
      <w:pPr>
        <w:pStyle w:val="Odstavecseseznamem"/>
        <w:rPr>
          <w:szCs w:val="24"/>
        </w:rPr>
      </w:pPr>
    </w:p>
    <w:p w:rsidR="00637748" w:rsidRDefault="00637748" w:rsidP="00637748">
      <w:pPr>
        <w:pStyle w:val="Odstavecseseznamem"/>
        <w:numPr>
          <w:ilvl w:val="0"/>
          <w:numId w:val="8"/>
        </w:numPr>
        <w:spacing w:after="160" w:line="259" w:lineRule="auto"/>
        <w:rPr>
          <w:rFonts w:ascii="Book Antiqua" w:hAnsi="Book Antiqua"/>
        </w:rPr>
      </w:pPr>
      <w:r>
        <w:rPr>
          <w:rFonts w:ascii="Book Antiqua" w:hAnsi="Book Antiqua"/>
        </w:rPr>
        <w:t>V</w:t>
      </w:r>
      <w:r w:rsidRPr="00637748">
        <w:rPr>
          <w:rFonts w:ascii="Book Antiqua" w:hAnsi="Book Antiqua"/>
        </w:rPr>
        <w:t xml:space="preserve"> úvodní tabulce je zcela zbytečné duplicitně uvádět označení nemovité věci </w:t>
      </w:r>
      <w:r>
        <w:rPr>
          <w:rFonts w:ascii="Book Antiqua" w:hAnsi="Book Antiqua"/>
        </w:rPr>
        <w:t xml:space="preserve">(navíc exekutoři identifikují často nemovitost přímo výřezem z KN, který půjde obtížně vložit do tabulky) </w:t>
      </w:r>
      <w:r w:rsidRPr="00637748">
        <w:rPr>
          <w:rFonts w:ascii="Book Antiqua" w:hAnsi="Book Antiqua"/>
        </w:rPr>
        <w:t>či podílu a den rozhodný pro pořadí exekutorského zástavního práva – obojí je dle § 73a odst. 5 EŘ poměr</w:t>
      </w:r>
      <w:r>
        <w:rPr>
          <w:rFonts w:ascii="Book Antiqua" w:hAnsi="Book Antiqua"/>
        </w:rPr>
        <w:t>ně přehledně uvedené ve výroku; dtto i pro označení zajištěné pohledávky</w:t>
      </w:r>
    </w:p>
    <w:p w:rsidR="00637748" w:rsidRPr="00637748" w:rsidRDefault="00637748" w:rsidP="00637748">
      <w:pPr>
        <w:pStyle w:val="Odstavecseseznamem"/>
        <w:rPr>
          <w:rFonts w:ascii="Book Antiqua" w:hAnsi="Book Antiqua"/>
        </w:rPr>
      </w:pPr>
    </w:p>
    <w:p w:rsidR="00637748" w:rsidRPr="00637748" w:rsidRDefault="00637748" w:rsidP="00637748">
      <w:pPr>
        <w:pStyle w:val="Odstavecseseznamem"/>
        <w:numPr>
          <w:ilvl w:val="0"/>
          <w:numId w:val="8"/>
        </w:numPr>
        <w:spacing w:after="160" w:line="259" w:lineRule="auto"/>
        <w:rPr>
          <w:rFonts w:ascii="Book Antiqua" w:hAnsi="Book Antiqua"/>
        </w:rPr>
      </w:pPr>
      <w:r>
        <w:rPr>
          <w:rFonts w:ascii="Book Antiqua" w:hAnsi="Book Antiqua"/>
        </w:rPr>
        <w:t xml:space="preserve">V sekci Další informace navrhujeme vypustit bod 3. Vyčíslení vymáhané povinnosti v EP by (s ohledem na podrobné informace ve VYZE) postačovalo </w:t>
      </w:r>
      <w:r w:rsidRPr="009669BB">
        <w:rPr>
          <w:rFonts w:ascii="Book Antiqua" w:hAnsi="Book Antiqua"/>
          <w:b/>
        </w:rPr>
        <w:t>pouze 1 souhrnnou částkou</w:t>
      </w:r>
      <w:r>
        <w:rPr>
          <w:rFonts w:ascii="Book Antiqua" w:hAnsi="Book Antiqua"/>
        </w:rPr>
        <w:t>.</w:t>
      </w:r>
    </w:p>
    <w:p w:rsidR="008B0C6E" w:rsidRPr="00637748" w:rsidRDefault="008B0C6E" w:rsidP="00637748">
      <w:pPr>
        <w:rPr>
          <w:rFonts w:ascii="Book Antiqua" w:hAnsi="Book Antiqua"/>
        </w:rPr>
      </w:pPr>
    </w:p>
    <w:p w:rsidR="003C330E" w:rsidRPr="008D2B1E" w:rsidRDefault="003C330E" w:rsidP="003C330E">
      <w:pPr>
        <w:pStyle w:val="Odstavecseseznamem"/>
        <w:numPr>
          <w:ilvl w:val="0"/>
          <w:numId w:val="13"/>
        </w:numPr>
        <w:rPr>
          <w:rFonts w:ascii="Book Antiqua" w:hAnsi="Book Antiqua"/>
          <w:u w:val="single"/>
        </w:rPr>
      </w:pPr>
      <w:r w:rsidRPr="008D2B1E">
        <w:rPr>
          <w:rFonts w:ascii="Book Antiqua" w:hAnsi="Book Antiqua"/>
          <w:u w:val="single"/>
        </w:rPr>
        <w:t>Ke vzoru Příkazu k úhradě nákladů exekuce</w:t>
      </w:r>
    </w:p>
    <w:p w:rsidR="008D2B1E" w:rsidRDefault="008D2B1E" w:rsidP="008D2B1E">
      <w:pPr>
        <w:rPr>
          <w:rFonts w:ascii="Book Antiqua" w:hAnsi="Book Antiqua"/>
        </w:rPr>
      </w:pPr>
    </w:p>
    <w:p w:rsidR="008D2B1E" w:rsidRDefault="008D2B1E" w:rsidP="008D2B1E">
      <w:pPr>
        <w:pStyle w:val="Odstavecseseznamem"/>
        <w:numPr>
          <w:ilvl w:val="0"/>
          <w:numId w:val="8"/>
        </w:numPr>
        <w:rPr>
          <w:rFonts w:ascii="Book Antiqua" w:hAnsi="Book Antiqua"/>
        </w:rPr>
      </w:pPr>
      <w:r w:rsidRPr="008D2B1E">
        <w:rPr>
          <w:rFonts w:ascii="Book Antiqua" w:hAnsi="Book Antiqua"/>
        </w:rPr>
        <w:t xml:space="preserve">Šablonu PÚNE je třeba </w:t>
      </w:r>
      <w:r w:rsidRPr="008D2B1E">
        <w:rPr>
          <w:rFonts w:ascii="Book Antiqua" w:hAnsi="Book Antiqua"/>
          <w:b/>
        </w:rPr>
        <w:t>v předkládané podobě</w:t>
      </w:r>
      <w:r w:rsidR="00802DCC">
        <w:rPr>
          <w:rFonts w:ascii="Book Antiqua" w:hAnsi="Book Antiqua"/>
          <w:b/>
        </w:rPr>
        <w:t xml:space="preserve"> a v tuto chvíli</w:t>
      </w:r>
      <w:r w:rsidRPr="008D2B1E">
        <w:rPr>
          <w:rFonts w:ascii="Book Antiqua" w:hAnsi="Book Antiqua"/>
          <w:b/>
        </w:rPr>
        <w:t xml:space="preserve"> odmítnout jako celek</w:t>
      </w:r>
      <w:r w:rsidRPr="008D2B1E">
        <w:rPr>
          <w:rFonts w:ascii="Book Antiqua" w:hAnsi="Book Antiqua"/>
        </w:rPr>
        <w:t>, a to z toho důvodu, že zatímco u EP lze s ohledem na jejich obsah a funkci tolerovat určitou šablonovitost, nelze tak již činit u PÚNE, jehož stěžejní část spočívá v odůvodnění, které je nevhodné k unifikaci. Šablonovitost v odůvodnění je pak protismyslná a navíc v rozporu s rozhodovací praxí soudů v námitkovém řízení. Navíc se nedůvodně rozlišuje rozhodnutí o nákladech v rámci PÚNE a ostatní nákladová rozhodnutí (usnesení o rozvrhu, usnesení o zastavení, usnesení o vydání výtěžku ins. správci), což je těžko akceptovatelné. V případě PÚNE je konečně potřeba zapracovat (změnit) významně více proměnných než v ostatních dokumentech, což se pochopitelně značně prodraží</w:t>
      </w:r>
    </w:p>
    <w:p w:rsidR="008D2B1E" w:rsidRPr="008D2B1E" w:rsidRDefault="008D2B1E" w:rsidP="008D2B1E">
      <w:pPr>
        <w:ind w:firstLine="405"/>
        <w:rPr>
          <w:rFonts w:ascii="Book Antiqua" w:hAnsi="Book Antiqua"/>
          <w:b/>
        </w:rPr>
      </w:pPr>
      <w:r w:rsidRPr="008D2B1E">
        <w:rPr>
          <w:rFonts w:ascii="Book Antiqua" w:hAnsi="Book Antiqua"/>
          <w:b/>
        </w:rPr>
        <w:t>Tato připomínka je zásadní.</w:t>
      </w:r>
    </w:p>
    <w:p w:rsidR="008D2B1E" w:rsidRPr="008D2B1E" w:rsidRDefault="008D2B1E" w:rsidP="008D2B1E">
      <w:pPr>
        <w:pStyle w:val="Odstavecseseznamem"/>
        <w:ind w:left="405"/>
        <w:rPr>
          <w:rFonts w:ascii="Book Antiqua" w:hAnsi="Book Antiqua"/>
        </w:rPr>
      </w:pPr>
    </w:p>
    <w:p w:rsidR="008D2B1E" w:rsidRDefault="008D2B1E" w:rsidP="008D2B1E">
      <w:pPr>
        <w:pStyle w:val="Odstavecseseznamem"/>
        <w:numPr>
          <w:ilvl w:val="0"/>
          <w:numId w:val="8"/>
        </w:numPr>
        <w:rPr>
          <w:rFonts w:ascii="Book Antiqua" w:hAnsi="Book Antiqua"/>
        </w:rPr>
      </w:pPr>
      <w:r w:rsidRPr="008C70B3">
        <w:rPr>
          <w:rFonts w:ascii="Book Antiqua" w:hAnsi="Book Antiqua"/>
        </w:rPr>
        <w:t>údaj o právním zastoupení (u POV i OPR) by měl být v záhlaví v druhém a nikoliv prvním sloupci, který pouze identifikuje údaj uvedený v</w:t>
      </w:r>
      <w:r>
        <w:rPr>
          <w:rFonts w:ascii="Book Antiqua" w:hAnsi="Book Antiqua"/>
        </w:rPr>
        <w:t> </w:t>
      </w:r>
      <w:r w:rsidRPr="008C70B3">
        <w:rPr>
          <w:rFonts w:ascii="Book Antiqua" w:hAnsi="Book Antiqua"/>
        </w:rPr>
        <w:t>řádku</w:t>
      </w:r>
    </w:p>
    <w:p w:rsidR="008D2B1E" w:rsidRDefault="008D2B1E" w:rsidP="008D2B1E">
      <w:pPr>
        <w:pStyle w:val="Odstavecseseznamem"/>
        <w:ind w:left="405"/>
        <w:rPr>
          <w:rFonts w:ascii="Book Antiqua" w:hAnsi="Book Antiqua"/>
        </w:rPr>
      </w:pPr>
    </w:p>
    <w:p w:rsidR="008D2B1E" w:rsidRDefault="008D2B1E" w:rsidP="008D2B1E">
      <w:pPr>
        <w:pStyle w:val="Odstavecseseznamem"/>
        <w:numPr>
          <w:ilvl w:val="0"/>
          <w:numId w:val="8"/>
        </w:numPr>
        <w:rPr>
          <w:rFonts w:ascii="Book Antiqua" w:hAnsi="Book Antiqua"/>
        </w:rPr>
      </w:pPr>
      <w:r>
        <w:rPr>
          <w:rFonts w:ascii="Book Antiqua" w:hAnsi="Book Antiqua"/>
        </w:rPr>
        <w:t xml:space="preserve">sekce „Další informace“ je u PÚNE zbytečná. Předpokládá se dostatečná informovanost o tam uváděných údajích z předchozích listin. </w:t>
      </w:r>
    </w:p>
    <w:p w:rsidR="00802DCC" w:rsidRPr="00802DCC" w:rsidRDefault="00802DCC" w:rsidP="00802DCC">
      <w:pPr>
        <w:pStyle w:val="Odstavecseseznamem"/>
        <w:rPr>
          <w:rFonts w:ascii="Book Antiqua" w:hAnsi="Book Antiqua"/>
        </w:rPr>
      </w:pPr>
    </w:p>
    <w:p w:rsidR="00802DCC" w:rsidRPr="00802DCC" w:rsidRDefault="00802DCC" w:rsidP="00802DCC">
      <w:pPr>
        <w:pStyle w:val="Odstavecseseznamem"/>
        <w:numPr>
          <w:ilvl w:val="0"/>
          <w:numId w:val="8"/>
        </w:numPr>
        <w:spacing w:after="160" w:line="259" w:lineRule="auto"/>
        <w:rPr>
          <w:rFonts w:ascii="Book Antiqua" w:hAnsi="Book Antiqua"/>
        </w:rPr>
      </w:pPr>
      <w:r w:rsidRPr="009669BB">
        <w:rPr>
          <w:rFonts w:ascii="Book Antiqua" w:hAnsi="Book Antiqua"/>
        </w:rPr>
        <w:t xml:space="preserve">Výroky by zásadně neměly být celé tučné! Tučně zvýrazněná má být část jako: zakazuje se, ukládá se apod. </w:t>
      </w:r>
    </w:p>
    <w:p w:rsidR="00802DCC" w:rsidRPr="00802DCC" w:rsidRDefault="00802DCC" w:rsidP="00802DCC">
      <w:pPr>
        <w:pStyle w:val="Odstavecseseznamem"/>
        <w:spacing w:after="160" w:line="259" w:lineRule="auto"/>
        <w:ind w:left="405"/>
        <w:rPr>
          <w:rFonts w:ascii="Book Antiqua" w:hAnsi="Book Antiqua"/>
        </w:rPr>
      </w:pPr>
    </w:p>
    <w:p w:rsidR="008D2B1E" w:rsidRDefault="008D2B1E" w:rsidP="008D2B1E">
      <w:pPr>
        <w:pStyle w:val="Odstavecseseznamem"/>
        <w:numPr>
          <w:ilvl w:val="0"/>
          <w:numId w:val="8"/>
        </w:numPr>
        <w:rPr>
          <w:rFonts w:ascii="Book Antiqua" w:hAnsi="Book Antiqua"/>
        </w:rPr>
      </w:pPr>
      <w:r>
        <w:rPr>
          <w:rFonts w:ascii="Book Antiqua" w:hAnsi="Book Antiqua"/>
        </w:rPr>
        <w:t xml:space="preserve">Pole </w:t>
      </w:r>
      <w:r w:rsidR="00802DCC">
        <w:rPr>
          <w:rFonts w:ascii="Book Antiqua" w:hAnsi="Book Antiqua"/>
        </w:rPr>
        <w:t xml:space="preserve">Náklady exekuce, </w:t>
      </w:r>
      <w:r w:rsidRPr="008D2B1E">
        <w:rPr>
          <w:rFonts w:ascii="Book Antiqua" w:hAnsi="Book Antiqua"/>
        </w:rPr>
        <w:t>Náklady oprávněného:</w:t>
      </w:r>
      <w:r w:rsidR="0064700B">
        <w:rPr>
          <w:rFonts w:ascii="Book Antiqua" w:hAnsi="Book Antiqua"/>
        </w:rPr>
        <w:t xml:space="preserve"> </w:t>
      </w:r>
      <w:r w:rsidRPr="008D2B1E">
        <w:rPr>
          <w:rFonts w:ascii="Book Antiqua" w:hAnsi="Book Antiqua"/>
        </w:rPr>
        <w:t>Celkem náklad</w:t>
      </w:r>
      <w:r w:rsidR="00802DCC">
        <w:rPr>
          <w:rFonts w:ascii="Book Antiqua" w:hAnsi="Book Antiqua"/>
        </w:rPr>
        <w:t xml:space="preserve">y exekuce a náklady oprávněného vůbec </w:t>
      </w:r>
      <w:r w:rsidRPr="00802DCC">
        <w:rPr>
          <w:rFonts w:ascii="Book Antiqua" w:hAnsi="Book Antiqua"/>
          <w:b/>
        </w:rPr>
        <w:t>nepatří do záhlaví</w:t>
      </w:r>
      <w:r>
        <w:rPr>
          <w:rFonts w:ascii="Book Antiqua" w:hAnsi="Book Antiqua"/>
        </w:rPr>
        <w:t xml:space="preserve"> – jsou uvedeny ve „výrocích“; duplicitní, zbytečné</w:t>
      </w:r>
    </w:p>
    <w:p w:rsidR="008D2B1E" w:rsidRPr="008D2B1E" w:rsidRDefault="008D2B1E" w:rsidP="008D2B1E">
      <w:pPr>
        <w:pStyle w:val="Odstavecseseznamem"/>
        <w:rPr>
          <w:rFonts w:ascii="Book Antiqua" w:hAnsi="Book Antiqua"/>
        </w:rPr>
      </w:pPr>
    </w:p>
    <w:p w:rsidR="008D2B1E" w:rsidRDefault="00802DCC" w:rsidP="00802DCC">
      <w:pPr>
        <w:pStyle w:val="Odstavecseseznamem"/>
        <w:numPr>
          <w:ilvl w:val="0"/>
          <w:numId w:val="8"/>
        </w:numPr>
        <w:rPr>
          <w:rFonts w:ascii="Book Antiqua" w:hAnsi="Book Antiqua"/>
        </w:rPr>
      </w:pPr>
      <w:r>
        <w:rPr>
          <w:rFonts w:ascii="Book Antiqua" w:hAnsi="Book Antiqua"/>
        </w:rPr>
        <w:t>„</w:t>
      </w:r>
      <w:r w:rsidRPr="00802DCC">
        <w:rPr>
          <w:rFonts w:ascii="Book Antiqua" w:hAnsi="Book Antiqua"/>
        </w:rPr>
        <w:t>Výrokové tabulky</w:t>
      </w:r>
      <w:r>
        <w:rPr>
          <w:rFonts w:ascii="Book Antiqua" w:hAnsi="Book Antiqua"/>
        </w:rPr>
        <w:t>“</w:t>
      </w:r>
      <w:r w:rsidRPr="00802DCC">
        <w:rPr>
          <w:rFonts w:ascii="Book Antiqua" w:hAnsi="Book Antiqua"/>
        </w:rPr>
        <w:t xml:space="preserve"> by „bez ohraničení“ daly dokumentu větší přehlednost</w:t>
      </w:r>
      <w:r>
        <w:rPr>
          <w:rFonts w:ascii="Book Antiqua" w:hAnsi="Book Antiqua"/>
        </w:rPr>
        <w:t xml:space="preserve">, např. </w:t>
      </w:r>
    </w:p>
    <w:p w:rsidR="00802DCC" w:rsidRPr="00802DCC" w:rsidRDefault="00802DCC" w:rsidP="00802DCC">
      <w:pPr>
        <w:pStyle w:val="Odstavecseseznamem"/>
        <w:rPr>
          <w:rFonts w:ascii="Book Antiqua" w:hAnsi="Book Antiqua"/>
        </w:rPr>
      </w:pPr>
    </w:p>
    <w:p w:rsidR="00802DCC" w:rsidRPr="00802DCC" w:rsidRDefault="00802DCC" w:rsidP="00802DCC">
      <w:pPr>
        <w:rPr>
          <w:szCs w:val="24"/>
        </w:rPr>
      </w:pPr>
      <w:r w:rsidRPr="00802DCC">
        <w:rPr>
          <w:szCs w:val="24"/>
        </w:rPr>
        <w:t>1. Soudní exekutor (</w:t>
      </w:r>
      <w:r w:rsidRPr="00802DCC">
        <w:rPr>
          <w:i/>
          <w:szCs w:val="24"/>
        </w:rPr>
        <w:t>titul, jméno, příjmení</w:t>
      </w:r>
      <w:r w:rsidRPr="00802DCC">
        <w:rPr>
          <w:szCs w:val="24"/>
        </w:rPr>
        <w:t>)</w:t>
      </w:r>
      <w:r w:rsidRPr="00F54203">
        <w:rPr>
          <w:i/>
          <w:szCs w:val="24"/>
        </w:rPr>
        <w:t xml:space="preserve"> </w:t>
      </w:r>
      <w:r w:rsidRPr="00802DCC">
        <w:rPr>
          <w:b/>
          <w:szCs w:val="24"/>
        </w:rPr>
        <w:t>ukládá povinnému povinnost uhradit</w:t>
      </w:r>
      <w:r w:rsidRPr="00F54203">
        <w:rPr>
          <w:b/>
          <w:szCs w:val="24"/>
        </w:rPr>
        <w:t xml:space="preserve"> náklady exekuce, </w:t>
      </w:r>
      <w:r w:rsidRPr="00802DCC">
        <w:rPr>
          <w:szCs w:val="24"/>
        </w:rPr>
        <w:t>které určil takto:</w:t>
      </w:r>
    </w:p>
    <w:p w:rsidR="00802DCC" w:rsidRPr="00F54203" w:rsidRDefault="00802DCC" w:rsidP="00802DCC">
      <w:pPr>
        <w:rPr>
          <w:b/>
          <w:szCs w:val="24"/>
        </w:rPr>
      </w:pPr>
    </w:p>
    <w:tbl>
      <w:tblPr>
        <w:tblW w:w="9918" w:type="dxa"/>
        <w:tblLook w:val="04A0" w:firstRow="1" w:lastRow="0" w:firstColumn="1" w:lastColumn="0" w:noHBand="0" w:noVBand="1"/>
      </w:tblPr>
      <w:tblGrid>
        <w:gridCol w:w="5387"/>
        <w:gridCol w:w="4531"/>
      </w:tblGrid>
      <w:tr w:rsidR="00802DCC" w:rsidRPr="00F54203" w:rsidTr="0064700B">
        <w:tc>
          <w:tcPr>
            <w:tcW w:w="5387" w:type="dxa"/>
            <w:shd w:val="clear" w:color="auto" w:fill="auto"/>
          </w:tcPr>
          <w:p w:rsidR="00802DCC" w:rsidRPr="00F54203" w:rsidRDefault="00802DCC" w:rsidP="0064700B">
            <w:pPr>
              <w:ind w:left="885"/>
              <w:rPr>
                <w:szCs w:val="24"/>
              </w:rPr>
            </w:pPr>
            <w:r w:rsidRPr="00F54203">
              <w:rPr>
                <w:szCs w:val="24"/>
              </w:rPr>
              <w:t>odměna soudního exekutora</w:t>
            </w:r>
          </w:p>
        </w:tc>
        <w:tc>
          <w:tcPr>
            <w:tcW w:w="4531" w:type="dxa"/>
            <w:shd w:val="clear" w:color="auto" w:fill="auto"/>
          </w:tcPr>
          <w:p w:rsidR="00802DCC" w:rsidRPr="00F54203" w:rsidRDefault="00802DCC" w:rsidP="0064700B">
            <w:pPr>
              <w:ind w:left="885"/>
              <w:rPr>
                <w:szCs w:val="24"/>
              </w:rPr>
            </w:pPr>
            <w:r>
              <w:rPr>
                <w:szCs w:val="24"/>
              </w:rPr>
              <w:t>1000 Kč</w:t>
            </w:r>
          </w:p>
        </w:tc>
      </w:tr>
      <w:tr w:rsidR="00802DCC" w:rsidRPr="00F54203" w:rsidTr="0064700B">
        <w:tc>
          <w:tcPr>
            <w:tcW w:w="5387" w:type="dxa"/>
            <w:shd w:val="clear" w:color="auto" w:fill="auto"/>
          </w:tcPr>
          <w:p w:rsidR="00802DCC" w:rsidRPr="00F54203" w:rsidRDefault="00802DCC" w:rsidP="0064700B">
            <w:pPr>
              <w:ind w:left="885"/>
              <w:rPr>
                <w:szCs w:val="24"/>
              </w:rPr>
            </w:pPr>
            <w:r w:rsidRPr="00F54203">
              <w:rPr>
                <w:szCs w:val="24"/>
              </w:rPr>
              <w:t xml:space="preserve">náhrada paušálně určených hotových výdajů </w:t>
            </w:r>
          </w:p>
        </w:tc>
        <w:tc>
          <w:tcPr>
            <w:tcW w:w="4531" w:type="dxa"/>
            <w:shd w:val="clear" w:color="auto" w:fill="auto"/>
          </w:tcPr>
          <w:p w:rsidR="00802DCC" w:rsidRPr="00F54203" w:rsidRDefault="00802DCC" w:rsidP="0064700B">
            <w:pPr>
              <w:ind w:left="885"/>
              <w:rPr>
                <w:szCs w:val="24"/>
              </w:rPr>
            </w:pPr>
            <w:r>
              <w:rPr>
                <w:szCs w:val="24"/>
              </w:rPr>
              <w:t>1000 Kč</w:t>
            </w:r>
          </w:p>
        </w:tc>
      </w:tr>
      <w:tr w:rsidR="00802DCC" w:rsidRPr="00F54203" w:rsidTr="0064700B">
        <w:tc>
          <w:tcPr>
            <w:tcW w:w="5387" w:type="dxa"/>
            <w:shd w:val="clear" w:color="auto" w:fill="auto"/>
          </w:tcPr>
          <w:p w:rsidR="00802DCC" w:rsidRPr="00F54203" w:rsidRDefault="00802DCC" w:rsidP="0064700B">
            <w:pPr>
              <w:ind w:left="885"/>
              <w:rPr>
                <w:szCs w:val="24"/>
              </w:rPr>
            </w:pPr>
            <w:r>
              <w:rPr>
                <w:szCs w:val="24"/>
              </w:rPr>
              <w:t>náhrada za ztrátu času</w:t>
            </w:r>
          </w:p>
        </w:tc>
        <w:tc>
          <w:tcPr>
            <w:tcW w:w="4531" w:type="dxa"/>
            <w:shd w:val="clear" w:color="auto" w:fill="auto"/>
          </w:tcPr>
          <w:p w:rsidR="00802DCC" w:rsidRPr="00F54203" w:rsidRDefault="00802DCC" w:rsidP="0064700B">
            <w:pPr>
              <w:ind w:left="885"/>
              <w:rPr>
                <w:szCs w:val="24"/>
              </w:rPr>
            </w:pPr>
            <w:r>
              <w:rPr>
                <w:szCs w:val="24"/>
              </w:rPr>
              <w:t>1000 Kč</w:t>
            </w:r>
          </w:p>
        </w:tc>
      </w:tr>
      <w:tr w:rsidR="00802DCC" w:rsidRPr="00F54203" w:rsidTr="0064700B">
        <w:tc>
          <w:tcPr>
            <w:tcW w:w="5387" w:type="dxa"/>
            <w:shd w:val="clear" w:color="auto" w:fill="auto"/>
          </w:tcPr>
          <w:p w:rsidR="00802DCC" w:rsidRPr="00F54203" w:rsidRDefault="00802DCC" w:rsidP="0064700B">
            <w:pPr>
              <w:ind w:left="885"/>
              <w:rPr>
                <w:szCs w:val="24"/>
              </w:rPr>
            </w:pPr>
            <w:r>
              <w:rPr>
                <w:szCs w:val="24"/>
              </w:rPr>
              <w:t>náhrada za doručení písemností</w:t>
            </w:r>
          </w:p>
        </w:tc>
        <w:tc>
          <w:tcPr>
            <w:tcW w:w="4531" w:type="dxa"/>
            <w:shd w:val="clear" w:color="auto" w:fill="auto"/>
          </w:tcPr>
          <w:p w:rsidR="00802DCC" w:rsidRPr="00F54203" w:rsidRDefault="00802DCC" w:rsidP="0064700B">
            <w:pPr>
              <w:ind w:left="885"/>
              <w:rPr>
                <w:szCs w:val="24"/>
              </w:rPr>
            </w:pPr>
            <w:r>
              <w:rPr>
                <w:szCs w:val="24"/>
              </w:rPr>
              <w:t>1000 Kč</w:t>
            </w:r>
          </w:p>
        </w:tc>
      </w:tr>
      <w:tr w:rsidR="00802DCC" w:rsidRPr="00F54203" w:rsidTr="0064700B">
        <w:tc>
          <w:tcPr>
            <w:tcW w:w="5387" w:type="dxa"/>
            <w:shd w:val="clear" w:color="auto" w:fill="auto"/>
          </w:tcPr>
          <w:p w:rsidR="00802DCC" w:rsidRPr="00F54203" w:rsidRDefault="00802DCC" w:rsidP="0064700B">
            <w:pPr>
              <w:ind w:left="885"/>
              <w:rPr>
                <w:szCs w:val="24"/>
              </w:rPr>
            </w:pPr>
            <w:r w:rsidRPr="00F54203">
              <w:rPr>
                <w:szCs w:val="24"/>
              </w:rPr>
              <w:t>odměna a</w:t>
            </w:r>
            <w:r>
              <w:rPr>
                <w:szCs w:val="24"/>
              </w:rPr>
              <w:t xml:space="preserve"> náhrada nákladů správce závodu</w:t>
            </w:r>
          </w:p>
        </w:tc>
        <w:tc>
          <w:tcPr>
            <w:tcW w:w="4531" w:type="dxa"/>
            <w:shd w:val="clear" w:color="auto" w:fill="auto"/>
          </w:tcPr>
          <w:p w:rsidR="00802DCC" w:rsidRPr="00F54203" w:rsidRDefault="00802DCC" w:rsidP="0064700B">
            <w:pPr>
              <w:ind w:left="885"/>
              <w:rPr>
                <w:szCs w:val="24"/>
              </w:rPr>
            </w:pPr>
            <w:r>
              <w:rPr>
                <w:szCs w:val="24"/>
              </w:rPr>
              <w:t>1000 Kč</w:t>
            </w:r>
          </w:p>
        </w:tc>
      </w:tr>
      <w:tr w:rsidR="00802DCC" w:rsidRPr="00F54203" w:rsidTr="0064700B">
        <w:tc>
          <w:tcPr>
            <w:tcW w:w="5387" w:type="dxa"/>
            <w:shd w:val="clear" w:color="auto" w:fill="auto"/>
          </w:tcPr>
          <w:p w:rsidR="00802DCC" w:rsidRPr="00F54203" w:rsidRDefault="00802DCC" w:rsidP="0064700B">
            <w:pPr>
              <w:ind w:left="885"/>
              <w:rPr>
                <w:szCs w:val="24"/>
              </w:rPr>
            </w:pPr>
            <w:r>
              <w:rPr>
                <w:szCs w:val="24"/>
              </w:rPr>
              <w:t>daň z přidané hodnoty</w:t>
            </w:r>
          </w:p>
        </w:tc>
        <w:tc>
          <w:tcPr>
            <w:tcW w:w="4531" w:type="dxa"/>
            <w:shd w:val="clear" w:color="auto" w:fill="auto"/>
          </w:tcPr>
          <w:p w:rsidR="00802DCC" w:rsidRPr="00F54203" w:rsidRDefault="00802DCC" w:rsidP="0064700B">
            <w:pPr>
              <w:ind w:left="885"/>
              <w:rPr>
                <w:b/>
                <w:szCs w:val="24"/>
              </w:rPr>
            </w:pPr>
            <w:r>
              <w:rPr>
                <w:szCs w:val="24"/>
              </w:rPr>
              <w:t>1000 Kč</w:t>
            </w:r>
          </w:p>
        </w:tc>
      </w:tr>
      <w:tr w:rsidR="00802DCC" w:rsidRPr="00F54203" w:rsidTr="0064700B">
        <w:tc>
          <w:tcPr>
            <w:tcW w:w="5387" w:type="dxa"/>
            <w:shd w:val="clear" w:color="auto" w:fill="auto"/>
          </w:tcPr>
          <w:p w:rsidR="00802DCC" w:rsidRPr="00F54203" w:rsidRDefault="00802DCC" w:rsidP="0064700B">
            <w:pPr>
              <w:ind w:left="885"/>
              <w:rPr>
                <w:b/>
                <w:szCs w:val="24"/>
              </w:rPr>
            </w:pPr>
            <w:r w:rsidRPr="00F54203">
              <w:rPr>
                <w:b/>
                <w:szCs w:val="24"/>
              </w:rPr>
              <w:t>celkem</w:t>
            </w:r>
          </w:p>
        </w:tc>
        <w:tc>
          <w:tcPr>
            <w:tcW w:w="4531" w:type="dxa"/>
            <w:shd w:val="clear" w:color="auto" w:fill="auto"/>
          </w:tcPr>
          <w:p w:rsidR="00802DCC" w:rsidRPr="00F54203" w:rsidRDefault="00802DCC" w:rsidP="0064700B">
            <w:pPr>
              <w:ind w:left="885"/>
              <w:rPr>
                <w:b/>
                <w:szCs w:val="24"/>
              </w:rPr>
            </w:pPr>
            <w:r>
              <w:rPr>
                <w:b/>
                <w:szCs w:val="24"/>
              </w:rPr>
              <w:t>6 000 Kč</w:t>
            </w:r>
          </w:p>
        </w:tc>
      </w:tr>
    </w:tbl>
    <w:p w:rsidR="00802DCC" w:rsidRDefault="00802DCC" w:rsidP="00802DCC">
      <w:pPr>
        <w:rPr>
          <w:rFonts w:ascii="Book Antiqua" w:hAnsi="Book Antiqua"/>
        </w:rPr>
      </w:pPr>
    </w:p>
    <w:p w:rsidR="00802DCC" w:rsidRPr="00802DCC" w:rsidRDefault="00802DCC" w:rsidP="00802DCC">
      <w:pPr>
        <w:pStyle w:val="Odstavecseseznamem"/>
        <w:numPr>
          <w:ilvl w:val="0"/>
          <w:numId w:val="8"/>
        </w:numPr>
        <w:rPr>
          <w:rFonts w:ascii="Book Antiqua" w:hAnsi="Book Antiqua"/>
        </w:rPr>
      </w:pPr>
      <w:r>
        <w:rPr>
          <w:rFonts w:ascii="Book Antiqua" w:hAnsi="Book Antiqua"/>
        </w:rPr>
        <w:t>odůvodnění by mělo být ponecháno bez bližšího určení, případně s určením základních zásad (např. každý nárok do samostatného vzestupně číslovaného odstavce), neboť informační systémy soudních exekutorů pracují s</w:t>
      </w:r>
      <w:r w:rsidR="0064700B">
        <w:rPr>
          <w:rFonts w:ascii="Book Antiqua" w:hAnsi="Book Antiqua"/>
        </w:rPr>
        <w:t xml:space="preserve"> různými </w:t>
      </w:r>
      <w:r>
        <w:rPr>
          <w:rFonts w:ascii="Book Antiqua" w:hAnsi="Book Antiqua"/>
        </w:rPr>
        <w:t>proměnnými různě.</w:t>
      </w:r>
    </w:p>
    <w:p w:rsidR="001D55D6" w:rsidRPr="00802DCC" w:rsidRDefault="001D55D6" w:rsidP="001D55D6">
      <w:pPr>
        <w:rPr>
          <w:rFonts w:ascii="Book Antiqua" w:hAnsi="Book Antiqua"/>
          <w:b/>
        </w:rPr>
      </w:pPr>
    </w:p>
    <w:p w:rsidR="001D55D6" w:rsidRDefault="001D55D6" w:rsidP="001D55D6">
      <w:pPr>
        <w:rPr>
          <w:rFonts w:ascii="Book Antiqua" w:hAnsi="Book Antiqua"/>
        </w:rPr>
      </w:pPr>
    </w:p>
    <w:p w:rsidR="001D55D6" w:rsidRDefault="001D55D6" w:rsidP="001D55D6">
      <w:pPr>
        <w:rPr>
          <w:rFonts w:ascii="Book Antiqua" w:hAnsi="Book Antiqua"/>
        </w:rPr>
      </w:pPr>
    </w:p>
    <w:p w:rsidR="001D55D6" w:rsidRPr="00C05CA1" w:rsidRDefault="001D55D6">
      <w:pPr>
        <w:rPr>
          <w:rFonts w:ascii="Book Antiqua" w:hAnsi="Book Antiqua"/>
        </w:rPr>
      </w:pPr>
    </w:p>
    <w:sectPr w:rsidR="001D55D6" w:rsidRPr="00C05CA1" w:rsidSect="002E6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56DE"/>
    <w:multiLevelType w:val="hybridMultilevel"/>
    <w:tmpl w:val="8C0890FC"/>
    <w:lvl w:ilvl="0" w:tplc="A88CA62A">
      <w:numFmt w:val="bullet"/>
      <w:lvlText w:val="-"/>
      <w:lvlJc w:val="left"/>
      <w:pPr>
        <w:ind w:left="465" w:hanging="360"/>
      </w:pPr>
      <w:rPr>
        <w:rFonts w:ascii="Book Antiqua" w:eastAsia="Times New Roman" w:hAnsi="Book Antiqua" w:hint="default"/>
        <w:u w:val="none"/>
      </w:rPr>
    </w:lvl>
    <w:lvl w:ilvl="1" w:tplc="04050003" w:tentative="1">
      <w:start w:val="1"/>
      <w:numFmt w:val="bullet"/>
      <w:lvlText w:val="o"/>
      <w:lvlJc w:val="left"/>
      <w:pPr>
        <w:ind w:left="1185" w:hanging="360"/>
      </w:pPr>
      <w:rPr>
        <w:rFonts w:ascii="Courier New" w:hAnsi="Courier New" w:hint="default"/>
      </w:rPr>
    </w:lvl>
    <w:lvl w:ilvl="2" w:tplc="04050005" w:tentative="1">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1">
    <w:nsid w:val="05276761"/>
    <w:multiLevelType w:val="hybridMultilevel"/>
    <w:tmpl w:val="02E2F28E"/>
    <w:lvl w:ilvl="0" w:tplc="87843AF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2B4167"/>
    <w:multiLevelType w:val="hybridMultilevel"/>
    <w:tmpl w:val="C810C5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391B39"/>
    <w:multiLevelType w:val="hybridMultilevel"/>
    <w:tmpl w:val="15104D16"/>
    <w:lvl w:ilvl="0" w:tplc="ADCAC0CE">
      <w:start w:val="1"/>
      <w:numFmt w:val="lowerLetter"/>
      <w:lvlText w:val="%1)"/>
      <w:lvlJc w:val="left"/>
      <w:pPr>
        <w:ind w:left="1410" w:hanging="360"/>
      </w:pPr>
      <w:rPr>
        <w:rFonts w:hint="default"/>
        <w:i w:val="0"/>
      </w:rPr>
    </w:lvl>
    <w:lvl w:ilvl="1" w:tplc="04050019" w:tentative="1">
      <w:start w:val="1"/>
      <w:numFmt w:val="lowerLetter"/>
      <w:lvlText w:val="%2."/>
      <w:lvlJc w:val="left"/>
      <w:pPr>
        <w:ind w:left="2130" w:hanging="360"/>
      </w:pPr>
    </w:lvl>
    <w:lvl w:ilvl="2" w:tplc="0405001B" w:tentative="1">
      <w:start w:val="1"/>
      <w:numFmt w:val="lowerRoman"/>
      <w:lvlText w:val="%3."/>
      <w:lvlJc w:val="right"/>
      <w:pPr>
        <w:ind w:left="2850" w:hanging="180"/>
      </w:pPr>
    </w:lvl>
    <w:lvl w:ilvl="3" w:tplc="0405000F" w:tentative="1">
      <w:start w:val="1"/>
      <w:numFmt w:val="decimal"/>
      <w:lvlText w:val="%4."/>
      <w:lvlJc w:val="left"/>
      <w:pPr>
        <w:ind w:left="3570" w:hanging="360"/>
      </w:pPr>
    </w:lvl>
    <w:lvl w:ilvl="4" w:tplc="04050019" w:tentative="1">
      <w:start w:val="1"/>
      <w:numFmt w:val="lowerLetter"/>
      <w:lvlText w:val="%5."/>
      <w:lvlJc w:val="left"/>
      <w:pPr>
        <w:ind w:left="4290" w:hanging="360"/>
      </w:pPr>
    </w:lvl>
    <w:lvl w:ilvl="5" w:tplc="0405001B" w:tentative="1">
      <w:start w:val="1"/>
      <w:numFmt w:val="lowerRoman"/>
      <w:lvlText w:val="%6."/>
      <w:lvlJc w:val="right"/>
      <w:pPr>
        <w:ind w:left="5010" w:hanging="180"/>
      </w:pPr>
    </w:lvl>
    <w:lvl w:ilvl="6" w:tplc="0405000F" w:tentative="1">
      <w:start w:val="1"/>
      <w:numFmt w:val="decimal"/>
      <w:lvlText w:val="%7."/>
      <w:lvlJc w:val="left"/>
      <w:pPr>
        <w:ind w:left="5730" w:hanging="360"/>
      </w:pPr>
    </w:lvl>
    <w:lvl w:ilvl="7" w:tplc="04050019" w:tentative="1">
      <w:start w:val="1"/>
      <w:numFmt w:val="lowerLetter"/>
      <w:lvlText w:val="%8."/>
      <w:lvlJc w:val="left"/>
      <w:pPr>
        <w:ind w:left="6450" w:hanging="360"/>
      </w:pPr>
    </w:lvl>
    <w:lvl w:ilvl="8" w:tplc="0405001B" w:tentative="1">
      <w:start w:val="1"/>
      <w:numFmt w:val="lowerRoman"/>
      <w:lvlText w:val="%9."/>
      <w:lvlJc w:val="right"/>
      <w:pPr>
        <w:ind w:left="7170" w:hanging="180"/>
      </w:pPr>
    </w:lvl>
  </w:abstractNum>
  <w:abstractNum w:abstractNumId="4">
    <w:nsid w:val="08543BE6"/>
    <w:multiLevelType w:val="hybridMultilevel"/>
    <w:tmpl w:val="0F72F64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8752A6F"/>
    <w:multiLevelType w:val="hybridMultilevel"/>
    <w:tmpl w:val="912A939E"/>
    <w:lvl w:ilvl="0" w:tplc="04050015">
      <w:start w:val="9"/>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96E7EEF"/>
    <w:multiLevelType w:val="hybridMultilevel"/>
    <w:tmpl w:val="9E84B98E"/>
    <w:lvl w:ilvl="0" w:tplc="2528D532">
      <w:start w:val="1"/>
      <w:numFmt w:val="decimal"/>
      <w:pStyle w:val="Nadpisparagrafu"/>
      <w:suff w:val="nothing"/>
      <w:lvlText w:val="§ %1"/>
      <w:lvlJc w:val="left"/>
      <w:pPr>
        <w:ind w:left="4253"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A615738"/>
    <w:multiLevelType w:val="hybridMultilevel"/>
    <w:tmpl w:val="8B5E3102"/>
    <w:lvl w:ilvl="0" w:tplc="3DBE2A9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0AC31EA4"/>
    <w:multiLevelType w:val="multilevel"/>
    <w:tmpl w:val="CF4AE6EE"/>
    <w:lvl w:ilvl="0">
      <w:start w:val="1"/>
      <w:numFmt w:val="decimal"/>
      <w:lvlRestart w:val="0"/>
      <w:lvlText w:val="(%1)"/>
      <w:lvlJc w:val="left"/>
      <w:pPr>
        <w:tabs>
          <w:tab w:val="num" w:pos="596"/>
        </w:tabs>
        <w:ind w:left="596" w:hanging="454"/>
      </w:pPr>
      <w:rPr>
        <w:rFonts w:ascii="Garamond" w:hAnsi="Garamond"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3"/>
      </w:pPr>
      <w:rPr>
        <w:i w:val="0"/>
      </w:rPr>
    </w:lvl>
    <w:lvl w:ilvl="2">
      <w:start w:val="1"/>
      <w:numFmt w:val="decimal"/>
      <w:lvlText w:val="%3."/>
      <w:lvlJc w:val="left"/>
      <w:pPr>
        <w:tabs>
          <w:tab w:val="num" w:pos="2160"/>
        </w:tabs>
        <w:ind w:left="2160" w:hanging="363"/>
      </w:pPr>
    </w:lvl>
    <w:lvl w:ilvl="3">
      <w:start w:val="1"/>
      <w:numFmt w:val="decimal"/>
      <w:lvlText w:val="%4."/>
      <w:lvlJc w:val="left"/>
      <w:pPr>
        <w:tabs>
          <w:tab w:val="num" w:pos="2880"/>
        </w:tabs>
        <w:ind w:left="2880" w:hanging="363"/>
      </w:pPr>
    </w:lvl>
    <w:lvl w:ilvl="4">
      <w:start w:val="1"/>
      <w:numFmt w:val="decimal"/>
      <w:lvlText w:val="%5."/>
      <w:lvlJc w:val="left"/>
      <w:pPr>
        <w:tabs>
          <w:tab w:val="num" w:pos="3600"/>
        </w:tabs>
        <w:ind w:left="3600" w:hanging="363"/>
      </w:pPr>
    </w:lvl>
    <w:lvl w:ilvl="5">
      <w:start w:val="1"/>
      <w:numFmt w:val="decimal"/>
      <w:lvlText w:val="%6."/>
      <w:lvlJc w:val="left"/>
      <w:pPr>
        <w:tabs>
          <w:tab w:val="num" w:pos="4320"/>
        </w:tabs>
        <w:ind w:left="4320" w:hanging="363"/>
      </w:pPr>
    </w:lvl>
    <w:lvl w:ilvl="6">
      <w:start w:val="1"/>
      <w:numFmt w:val="decimal"/>
      <w:lvlText w:val="%7."/>
      <w:lvlJc w:val="left"/>
      <w:pPr>
        <w:tabs>
          <w:tab w:val="num" w:pos="5040"/>
        </w:tabs>
        <w:ind w:left="5040" w:hanging="363"/>
      </w:pPr>
    </w:lvl>
    <w:lvl w:ilvl="7">
      <w:start w:val="1"/>
      <w:numFmt w:val="decimal"/>
      <w:lvlText w:val="%8."/>
      <w:lvlJc w:val="left"/>
      <w:pPr>
        <w:tabs>
          <w:tab w:val="num" w:pos="5760"/>
        </w:tabs>
        <w:ind w:left="5760" w:hanging="363"/>
      </w:pPr>
    </w:lvl>
    <w:lvl w:ilvl="8">
      <w:start w:val="1"/>
      <w:numFmt w:val="decimal"/>
      <w:lvlText w:val="%9."/>
      <w:lvlJc w:val="left"/>
      <w:pPr>
        <w:tabs>
          <w:tab w:val="num" w:pos="6480"/>
        </w:tabs>
        <w:ind w:left="6480" w:hanging="363"/>
      </w:pPr>
    </w:lvl>
  </w:abstractNum>
  <w:abstractNum w:abstractNumId="9">
    <w:nsid w:val="14FE14D3"/>
    <w:multiLevelType w:val="hybridMultilevel"/>
    <w:tmpl w:val="6F26887A"/>
    <w:lvl w:ilvl="0" w:tplc="34ECACB8">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nsid w:val="15691FA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86E68F5"/>
    <w:multiLevelType w:val="hybridMultilevel"/>
    <w:tmpl w:val="188E8812"/>
    <w:lvl w:ilvl="0" w:tplc="564E871E">
      <w:start w:val="1"/>
      <w:numFmt w:val="bullet"/>
      <w:lvlText w:val="-"/>
      <w:lvlJc w:val="left"/>
      <w:pPr>
        <w:ind w:left="405" w:hanging="360"/>
      </w:pPr>
      <w:rPr>
        <w:rFonts w:ascii="Book Antiqua" w:eastAsia="Times New Roman" w:hAnsi="Book Antiqua"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2">
    <w:nsid w:val="1AF73E5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B06894"/>
    <w:multiLevelType w:val="hybridMultilevel"/>
    <w:tmpl w:val="02E2F28E"/>
    <w:lvl w:ilvl="0" w:tplc="87843AF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A8F2FC0"/>
    <w:multiLevelType w:val="hybridMultilevel"/>
    <w:tmpl w:val="ADB0B770"/>
    <w:lvl w:ilvl="0" w:tplc="A3ECFDA8">
      <w:numFmt w:val="bullet"/>
      <w:lvlText w:val="-"/>
      <w:lvlJc w:val="left"/>
      <w:pPr>
        <w:ind w:left="1440" w:hanging="360"/>
      </w:pPr>
      <w:rPr>
        <w:rFonts w:ascii="Calibri" w:eastAsiaTheme="minorHAnsi" w:hAnsi="Calibri" w:cs="Calibri"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5">
    <w:nsid w:val="3B9C2006"/>
    <w:multiLevelType w:val="multilevel"/>
    <w:tmpl w:val="78864614"/>
    <w:lvl w:ilvl="0">
      <w:start w:val="1"/>
      <w:numFmt w:val="decimal"/>
      <w:lvlRestart w:val="0"/>
      <w:pStyle w:val="slovantext"/>
      <w:lvlText w:val="(%1)"/>
      <w:lvlJc w:val="left"/>
      <w:pPr>
        <w:tabs>
          <w:tab w:val="num" w:pos="596"/>
        </w:tabs>
        <w:ind w:left="596" w:hanging="454"/>
      </w:pPr>
      <w:rPr>
        <w:rFonts w:ascii="Garamond" w:hAnsi="Garamond"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3"/>
      </w:pPr>
    </w:lvl>
    <w:lvl w:ilvl="2">
      <w:start w:val="1"/>
      <w:numFmt w:val="decimal"/>
      <w:lvlText w:val="%3."/>
      <w:lvlJc w:val="left"/>
      <w:pPr>
        <w:tabs>
          <w:tab w:val="num" w:pos="2160"/>
        </w:tabs>
        <w:ind w:left="2160" w:hanging="363"/>
      </w:pPr>
    </w:lvl>
    <w:lvl w:ilvl="3">
      <w:start w:val="1"/>
      <w:numFmt w:val="decimal"/>
      <w:lvlText w:val="%4."/>
      <w:lvlJc w:val="left"/>
      <w:pPr>
        <w:tabs>
          <w:tab w:val="num" w:pos="2880"/>
        </w:tabs>
        <w:ind w:left="2880" w:hanging="363"/>
      </w:pPr>
    </w:lvl>
    <w:lvl w:ilvl="4">
      <w:start w:val="1"/>
      <w:numFmt w:val="decimal"/>
      <w:lvlText w:val="%5."/>
      <w:lvlJc w:val="left"/>
      <w:pPr>
        <w:tabs>
          <w:tab w:val="num" w:pos="3600"/>
        </w:tabs>
        <w:ind w:left="3600" w:hanging="363"/>
      </w:pPr>
    </w:lvl>
    <w:lvl w:ilvl="5">
      <w:start w:val="1"/>
      <w:numFmt w:val="decimal"/>
      <w:lvlText w:val="%6."/>
      <w:lvlJc w:val="left"/>
      <w:pPr>
        <w:tabs>
          <w:tab w:val="num" w:pos="4320"/>
        </w:tabs>
        <w:ind w:left="4320" w:hanging="363"/>
      </w:pPr>
    </w:lvl>
    <w:lvl w:ilvl="6">
      <w:start w:val="1"/>
      <w:numFmt w:val="decimal"/>
      <w:lvlText w:val="%7."/>
      <w:lvlJc w:val="left"/>
      <w:pPr>
        <w:tabs>
          <w:tab w:val="num" w:pos="5040"/>
        </w:tabs>
        <w:ind w:left="5040" w:hanging="363"/>
      </w:pPr>
    </w:lvl>
    <w:lvl w:ilvl="7">
      <w:start w:val="1"/>
      <w:numFmt w:val="decimal"/>
      <w:lvlText w:val="%8."/>
      <w:lvlJc w:val="left"/>
      <w:pPr>
        <w:tabs>
          <w:tab w:val="num" w:pos="5760"/>
        </w:tabs>
        <w:ind w:left="5760" w:hanging="363"/>
      </w:pPr>
    </w:lvl>
    <w:lvl w:ilvl="8">
      <w:start w:val="1"/>
      <w:numFmt w:val="decimal"/>
      <w:lvlText w:val="%9."/>
      <w:lvlJc w:val="left"/>
      <w:pPr>
        <w:tabs>
          <w:tab w:val="num" w:pos="6480"/>
        </w:tabs>
        <w:ind w:left="6480" w:hanging="363"/>
      </w:pPr>
    </w:lvl>
  </w:abstractNum>
  <w:abstractNum w:abstractNumId="16">
    <w:nsid w:val="49E5248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00E6E19"/>
    <w:multiLevelType w:val="hybridMultilevel"/>
    <w:tmpl w:val="BF4C50D4"/>
    <w:lvl w:ilvl="0" w:tplc="778C927A">
      <w:start w:val="1"/>
      <w:numFmt w:val="bullet"/>
      <w:lvlText w:val="-"/>
      <w:lvlJc w:val="left"/>
      <w:pPr>
        <w:ind w:left="1440" w:hanging="360"/>
      </w:pPr>
      <w:rPr>
        <w:rFonts w:ascii="Calibri" w:eastAsiaTheme="minorHAnsi" w:hAnsi="Calibri" w:cs="Calibri"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8">
    <w:nsid w:val="521B1C50"/>
    <w:multiLevelType w:val="hybridMultilevel"/>
    <w:tmpl w:val="AED80F62"/>
    <w:lvl w:ilvl="0" w:tplc="F8EE6C7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2653CB1"/>
    <w:multiLevelType w:val="hybridMultilevel"/>
    <w:tmpl w:val="5C6AA1AA"/>
    <w:lvl w:ilvl="0" w:tplc="119263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6F1114B"/>
    <w:multiLevelType w:val="hybridMultilevel"/>
    <w:tmpl w:val="6A9A06A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25A6BC6"/>
    <w:multiLevelType w:val="hybridMultilevel"/>
    <w:tmpl w:val="2638A1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2616AB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5467D9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733350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9836FEC"/>
    <w:multiLevelType w:val="hybridMultilevel"/>
    <w:tmpl w:val="19BCB1D8"/>
    <w:lvl w:ilvl="0" w:tplc="C846DF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B4C5AA4"/>
    <w:multiLevelType w:val="hybridMultilevel"/>
    <w:tmpl w:val="AED80F62"/>
    <w:lvl w:ilvl="0" w:tplc="F8EE6C7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BFE25B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F90B2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6"/>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11"/>
  </w:num>
  <w:num w:numId="9">
    <w:abstractNumId w:val="21"/>
  </w:num>
  <w:num w:numId="10">
    <w:abstractNumId w:val="19"/>
  </w:num>
  <w:num w:numId="11">
    <w:abstractNumId w:val="25"/>
  </w:num>
  <w:num w:numId="12">
    <w:abstractNumId w:val="4"/>
  </w:num>
  <w:num w:numId="13">
    <w:abstractNumId w:val="26"/>
  </w:num>
  <w:num w:numId="14">
    <w:abstractNumId w:val="18"/>
  </w:num>
  <w:num w:numId="15">
    <w:abstractNumId w:val="12"/>
  </w:num>
  <w:num w:numId="16">
    <w:abstractNumId w:val="23"/>
  </w:num>
  <w:num w:numId="17">
    <w:abstractNumId w:val="28"/>
  </w:num>
  <w:num w:numId="18">
    <w:abstractNumId w:val="24"/>
  </w:num>
  <w:num w:numId="19">
    <w:abstractNumId w:val="10"/>
  </w:num>
  <w:num w:numId="20">
    <w:abstractNumId w:val="16"/>
  </w:num>
  <w:num w:numId="21">
    <w:abstractNumId w:val="27"/>
  </w:num>
  <w:num w:numId="22">
    <w:abstractNumId w:val="22"/>
  </w:num>
  <w:num w:numId="23">
    <w:abstractNumId w:val="3"/>
  </w:num>
  <w:num w:numId="24">
    <w:abstractNumId w:val="2"/>
  </w:num>
  <w:num w:numId="25">
    <w:abstractNumId w:val="9"/>
  </w:num>
  <w:num w:numId="26">
    <w:abstractNumId w:val="14"/>
  </w:num>
  <w:num w:numId="27">
    <w:abstractNumId w:val="17"/>
  </w:num>
  <w:num w:numId="28">
    <w:abstractNumId w:val="7"/>
  </w:num>
  <w:num w:numId="29">
    <w:abstractNumId w:val="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C130BA"/>
    <w:rsid w:val="00084630"/>
    <w:rsid w:val="000914D8"/>
    <w:rsid w:val="000C02DD"/>
    <w:rsid w:val="001829EB"/>
    <w:rsid w:val="001B7CF1"/>
    <w:rsid w:val="001D55D6"/>
    <w:rsid w:val="002631F9"/>
    <w:rsid w:val="00277C8F"/>
    <w:rsid w:val="00292747"/>
    <w:rsid w:val="00293F8F"/>
    <w:rsid w:val="002C651E"/>
    <w:rsid w:val="002D3FE6"/>
    <w:rsid w:val="002E2B97"/>
    <w:rsid w:val="002E6108"/>
    <w:rsid w:val="00302E3B"/>
    <w:rsid w:val="0032782D"/>
    <w:rsid w:val="00330019"/>
    <w:rsid w:val="003315F8"/>
    <w:rsid w:val="003C330E"/>
    <w:rsid w:val="003D1F4B"/>
    <w:rsid w:val="0040737C"/>
    <w:rsid w:val="0041209E"/>
    <w:rsid w:val="00447161"/>
    <w:rsid w:val="004A3912"/>
    <w:rsid w:val="004C5181"/>
    <w:rsid w:val="005105EB"/>
    <w:rsid w:val="005354DE"/>
    <w:rsid w:val="00554E78"/>
    <w:rsid w:val="0057187C"/>
    <w:rsid w:val="005A423A"/>
    <w:rsid w:val="005E3B78"/>
    <w:rsid w:val="00605564"/>
    <w:rsid w:val="00637748"/>
    <w:rsid w:val="0064700B"/>
    <w:rsid w:val="006970A6"/>
    <w:rsid w:val="006A6FB6"/>
    <w:rsid w:val="006C3E27"/>
    <w:rsid w:val="00802DCC"/>
    <w:rsid w:val="008457C6"/>
    <w:rsid w:val="008579A7"/>
    <w:rsid w:val="00876A70"/>
    <w:rsid w:val="008B0C6E"/>
    <w:rsid w:val="008C70B3"/>
    <w:rsid w:val="008D2B1E"/>
    <w:rsid w:val="00900F90"/>
    <w:rsid w:val="00916D5E"/>
    <w:rsid w:val="009176C7"/>
    <w:rsid w:val="00950DE2"/>
    <w:rsid w:val="009666B6"/>
    <w:rsid w:val="009669BB"/>
    <w:rsid w:val="009A34EC"/>
    <w:rsid w:val="009E647E"/>
    <w:rsid w:val="00A56BA4"/>
    <w:rsid w:val="00A71B07"/>
    <w:rsid w:val="00A93C52"/>
    <w:rsid w:val="00AA34EA"/>
    <w:rsid w:val="00AC3685"/>
    <w:rsid w:val="00AD2FC3"/>
    <w:rsid w:val="00B17EAC"/>
    <w:rsid w:val="00B25792"/>
    <w:rsid w:val="00B262F0"/>
    <w:rsid w:val="00B41E77"/>
    <w:rsid w:val="00B65BF7"/>
    <w:rsid w:val="00B76941"/>
    <w:rsid w:val="00BC139A"/>
    <w:rsid w:val="00BF09F7"/>
    <w:rsid w:val="00C05CA1"/>
    <w:rsid w:val="00C130BA"/>
    <w:rsid w:val="00C25B34"/>
    <w:rsid w:val="00C50784"/>
    <w:rsid w:val="00C6203D"/>
    <w:rsid w:val="00CA5196"/>
    <w:rsid w:val="00CC7539"/>
    <w:rsid w:val="00D000C7"/>
    <w:rsid w:val="00D066C8"/>
    <w:rsid w:val="00D279AA"/>
    <w:rsid w:val="00D51D5C"/>
    <w:rsid w:val="00D64270"/>
    <w:rsid w:val="00D90B2F"/>
    <w:rsid w:val="00E32316"/>
    <w:rsid w:val="00E739CE"/>
    <w:rsid w:val="00E85497"/>
    <w:rsid w:val="00F102C1"/>
    <w:rsid w:val="00F86089"/>
    <w:rsid w:val="00FC1ABD"/>
    <w:rsid w:val="00FE0F1D"/>
    <w:rsid w:val="00FE396A"/>
    <w:rsid w:val="00FE49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5CA1"/>
    <w:pPr>
      <w:spacing w:after="120" w:line="240" w:lineRule="auto"/>
      <w:jc w:val="both"/>
    </w:pPr>
    <w:rPr>
      <w:rFonts w:ascii="Garamond" w:eastAsia="Calibri" w:hAnsi="Garamond" w:cs="Times New Roman"/>
      <w:sz w:val="24"/>
    </w:rPr>
  </w:style>
  <w:style w:type="paragraph" w:styleId="Nadpis1">
    <w:name w:val="heading 1"/>
    <w:basedOn w:val="Normln"/>
    <w:next w:val="Normln"/>
    <w:link w:val="Nadpis1Char"/>
    <w:uiPriority w:val="9"/>
    <w:qFormat/>
    <w:rsid w:val="00C05C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5">
    <w:name w:val="heading 5"/>
    <w:basedOn w:val="Normln"/>
    <w:next w:val="Normln"/>
    <w:link w:val="Nadpis5Char"/>
    <w:uiPriority w:val="9"/>
    <w:semiHidden/>
    <w:unhideWhenUsed/>
    <w:qFormat/>
    <w:rsid w:val="00C05CA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05CA1"/>
    <w:pPr>
      <w:ind w:left="720"/>
      <w:contextualSpacing/>
    </w:pPr>
  </w:style>
  <w:style w:type="paragraph" w:customStyle="1" w:styleId="Nadpisparagrafu">
    <w:name w:val="Nadpis paragrafu"/>
    <w:basedOn w:val="Nadpis5"/>
    <w:link w:val="NadpisparagrafuChar"/>
    <w:autoRedefine/>
    <w:qFormat/>
    <w:rsid w:val="00C05CA1"/>
    <w:pPr>
      <w:numPr>
        <w:numId w:val="2"/>
      </w:numPr>
      <w:spacing w:before="200" w:after="120"/>
      <w:ind w:left="0"/>
      <w:jc w:val="center"/>
    </w:pPr>
    <w:rPr>
      <w:rFonts w:ascii="Garamond" w:hAnsi="Garamond"/>
      <w:color w:val="000000" w:themeColor="text1"/>
      <w:szCs w:val="24"/>
    </w:rPr>
  </w:style>
  <w:style w:type="character" w:customStyle="1" w:styleId="NadpisparagrafuChar">
    <w:name w:val="Nadpis paragrafu Char"/>
    <w:basedOn w:val="Nadpis5Char"/>
    <w:link w:val="Nadpisparagrafu"/>
    <w:rsid w:val="00C05CA1"/>
    <w:rPr>
      <w:rFonts w:ascii="Garamond" w:eastAsiaTheme="majorEastAsia" w:hAnsi="Garamond" w:cstheme="majorBidi"/>
      <w:color w:val="000000" w:themeColor="text1"/>
      <w:sz w:val="24"/>
      <w:szCs w:val="24"/>
    </w:rPr>
  </w:style>
  <w:style w:type="character" w:customStyle="1" w:styleId="Nadpis5Char">
    <w:name w:val="Nadpis 5 Char"/>
    <w:basedOn w:val="Standardnpsmoodstavce"/>
    <w:link w:val="Nadpis5"/>
    <w:uiPriority w:val="9"/>
    <w:semiHidden/>
    <w:rsid w:val="00C05CA1"/>
    <w:rPr>
      <w:rFonts w:asciiTheme="majorHAnsi" w:eastAsiaTheme="majorEastAsia" w:hAnsiTheme="majorHAnsi" w:cstheme="majorBidi"/>
      <w:color w:val="2E74B5" w:themeColor="accent1" w:themeShade="BF"/>
      <w:sz w:val="24"/>
    </w:rPr>
  </w:style>
  <w:style w:type="paragraph" w:customStyle="1" w:styleId="slovantext">
    <w:name w:val="Číslovaný text"/>
    <w:basedOn w:val="Odstavecseseznamem"/>
    <w:link w:val="slovantextChar"/>
    <w:qFormat/>
    <w:rsid w:val="00C05CA1"/>
    <w:pPr>
      <w:numPr>
        <w:numId w:val="3"/>
      </w:numPr>
      <w:contextualSpacing w:val="0"/>
    </w:pPr>
    <w:rPr>
      <w:szCs w:val="24"/>
    </w:rPr>
  </w:style>
  <w:style w:type="character" w:customStyle="1" w:styleId="slovantextChar">
    <w:name w:val="Číslovaný text Char"/>
    <w:basedOn w:val="Standardnpsmoodstavce"/>
    <w:link w:val="slovantext"/>
    <w:rsid w:val="00C05CA1"/>
    <w:rPr>
      <w:rFonts w:ascii="Garamond" w:eastAsia="Calibri" w:hAnsi="Garamond" w:cs="Times New Roman"/>
      <w:sz w:val="24"/>
      <w:szCs w:val="24"/>
    </w:rPr>
  </w:style>
  <w:style w:type="character" w:customStyle="1" w:styleId="Nadpis1Char">
    <w:name w:val="Nadpis 1 Char"/>
    <w:basedOn w:val="Standardnpsmoodstavce"/>
    <w:link w:val="Nadpis1"/>
    <w:uiPriority w:val="9"/>
    <w:rsid w:val="00C05CA1"/>
    <w:rPr>
      <w:rFonts w:asciiTheme="majorHAnsi" w:eastAsiaTheme="majorEastAsia" w:hAnsiTheme="majorHAnsi" w:cstheme="majorBidi"/>
      <w:color w:val="2E74B5" w:themeColor="accent1" w:themeShade="BF"/>
      <w:sz w:val="32"/>
      <w:szCs w:val="32"/>
    </w:rPr>
  </w:style>
  <w:style w:type="character" w:customStyle="1" w:styleId="xsptextcomputedfield">
    <w:name w:val="xsptextcomputedfield"/>
    <w:basedOn w:val="Standardnpsmoodstavce"/>
    <w:rsid w:val="00C05CA1"/>
  </w:style>
  <w:style w:type="character" w:styleId="Odkaznakoment">
    <w:name w:val="annotation reference"/>
    <w:basedOn w:val="Standardnpsmoodstavce"/>
    <w:uiPriority w:val="99"/>
    <w:semiHidden/>
    <w:unhideWhenUsed/>
    <w:rsid w:val="00D64270"/>
    <w:rPr>
      <w:sz w:val="16"/>
      <w:szCs w:val="16"/>
    </w:rPr>
  </w:style>
  <w:style w:type="paragraph" w:styleId="Textkomente">
    <w:name w:val="annotation text"/>
    <w:basedOn w:val="Normln"/>
    <w:link w:val="TextkomenteChar"/>
    <w:uiPriority w:val="99"/>
    <w:semiHidden/>
    <w:unhideWhenUsed/>
    <w:rsid w:val="00D64270"/>
    <w:rPr>
      <w:sz w:val="20"/>
      <w:szCs w:val="20"/>
    </w:rPr>
  </w:style>
  <w:style w:type="character" w:customStyle="1" w:styleId="TextkomenteChar">
    <w:name w:val="Text komentáře Char"/>
    <w:basedOn w:val="Standardnpsmoodstavce"/>
    <w:link w:val="Textkomente"/>
    <w:uiPriority w:val="99"/>
    <w:semiHidden/>
    <w:rsid w:val="00D64270"/>
    <w:rPr>
      <w:rFonts w:ascii="Garamond" w:eastAsia="Calibri" w:hAnsi="Garamond" w:cs="Times New Roman"/>
      <w:sz w:val="20"/>
      <w:szCs w:val="20"/>
    </w:rPr>
  </w:style>
  <w:style w:type="paragraph" w:styleId="Pedmtkomente">
    <w:name w:val="annotation subject"/>
    <w:basedOn w:val="Textkomente"/>
    <w:next w:val="Textkomente"/>
    <w:link w:val="PedmtkomenteChar"/>
    <w:uiPriority w:val="99"/>
    <w:semiHidden/>
    <w:unhideWhenUsed/>
    <w:rsid w:val="00D64270"/>
    <w:rPr>
      <w:b/>
      <w:bCs/>
    </w:rPr>
  </w:style>
  <w:style w:type="character" w:customStyle="1" w:styleId="PedmtkomenteChar">
    <w:name w:val="Předmět komentáře Char"/>
    <w:basedOn w:val="TextkomenteChar"/>
    <w:link w:val="Pedmtkomente"/>
    <w:uiPriority w:val="99"/>
    <w:semiHidden/>
    <w:rsid w:val="00D64270"/>
    <w:rPr>
      <w:rFonts w:ascii="Garamond" w:eastAsia="Calibri" w:hAnsi="Garamond" w:cs="Times New Roman"/>
      <w:b/>
      <w:bCs/>
      <w:sz w:val="20"/>
      <w:szCs w:val="20"/>
    </w:rPr>
  </w:style>
  <w:style w:type="paragraph" w:styleId="Textbubliny">
    <w:name w:val="Balloon Text"/>
    <w:basedOn w:val="Normln"/>
    <w:link w:val="TextbublinyChar"/>
    <w:uiPriority w:val="99"/>
    <w:semiHidden/>
    <w:unhideWhenUsed/>
    <w:rsid w:val="00D64270"/>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427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261">
      <w:bodyDiv w:val="1"/>
      <w:marLeft w:val="0"/>
      <w:marRight w:val="0"/>
      <w:marTop w:val="0"/>
      <w:marBottom w:val="0"/>
      <w:divBdr>
        <w:top w:val="none" w:sz="0" w:space="0" w:color="auto"/>
        <w:left w:val="none" w:sz="0" w:space="0" w:color="auto"/>
        <w:bottom w:val="none" w:sz="0" w:space="0" w:color="auto"/>
        <w:right w:val="none" w:sz="0" w:space="0" w:color="auto"/>
      </w:divBdr>
    </w:div>
    <w:div w:id="77751579">
      <w:bodyDiv w:val="1"/>
      <w:marLeft w:val="0"/>
      <w:marRight w:val="0"/>
      <w:marTop w:val="0"/>
      <w:marBottom w:val="0"/>
      <w:divBdr>
        <w:top w:val="none" w:sz="0" w:space="0" w:color="auto"/>
        <w:left w:val="none" w:sz="0" w:space="0" w:color="auto"/>
        <w:bottom w:val="none" w:sz="0" w:space="0" w:color="auto"/>
        <w:right w:val="none" w:sz="0" w:space="0" w:color="auto"/>
      </w:divBdr>
    </w:div>
    <w:div w:id="374819481">
      <w:bodyDiv w:val="1"/>
      <w:marLeft w:val="0"/>
      <w:marRight w:val="0"/>
      <w:marTop w:val="0"/>
      <w:marBottom w:val="0"/>
      <w:divBdr>
        <w:top w:val="none" w:sz="0" w:space="0" w:color="auto"/>
        <w:left w:val="none" w:sz="0" w:space="0" w:color="auto"/>
        <w:bottom w:val="none" w:sz="0" w:space="0" w:color="auto"/>
        <w:right w:val="none" w:sz="0" w:space="0" w:color="auto"/>
      </w:divBdr>
    </w:div>
    <w:div w:id="386338449">
      <w:bodyDiv w:val="1"/>
      <w:marLeft w:val="0"/>
      <w:marRight w:val="0"/>
      <w:marTop w:val="0"/>
      <w:marBottom w:val="0"/>
      <w:divBdr>
        <w:top w:val="none" w:sz="0" w:space="0" w:color="auto"/>
        <w:left w:val="none" w:sz="0" w:space="0" w:color="auto"/>
        <w:bottom w:val="none" w:sz="0" w:space="0" w:color="auto"/>
        <w:right w:val="none" w:sz="0" w:space="0" w:color="auto"/>
      </w:divBdr>
    </w:div>
    <w:div w:id="467942832">
      <w:bodyDiv w:val="1"/>
      <w:marLeft w:val="0"/>
      <w:marRight w:val="0"/>
      <w:marTop w:val="0"/>
      <w:marBottom w:val="0"/>
      <w:divBdr>
        <w:top w:val="none" w:sz="0" w:space="0" w:color="auto"/>
        <w:left w:val="none" w:sz="0" w:space="0" w:color="auto"/>
        <w:bottom w:val="none" w:sz="0" w:space="0" w:color="auto"/>
        <w:right w:val="none" w:sz="0" w:space="0" w:color="auto"/>
      </w:divBdr>
      <w:divsChild>
        <w:div w:id="648022291">
          <w:marLeft w:val="0"/>
          <w:marRight w:val="0"/>
          <w:marTop w:val="0"/>
          <w:marBottom w:val="0"/>
          <w:divBdr>
            <w:top w:val="none" w:sz="0" w:space="0" w:color="auto"/>
            <w:left w:val="none" w:sz="0" w:space="0" w:color="auto"/>
            <w:bottom w:val="none" w:sz="0" w:space="0" w:color="auto"/>
            <w:right w:val="none" w:sz="0" w:space="0" w:color="auto"/>
          </w:divBdr>
        </w:div>
      </w:divsChild>
    </w:div>
    <w:div w:id="486553943">
      <w:bodyDiv w:val="1"/>
      <w:marLeft w:val="0"/>
      <w:marRight w:val="0"/>
      <w:marTop w:val="0"/>
      <w:marBottom w:val="0"/>
      <w:divBdr>
        <w:top w:val="none" w:sz="0" w:space="0" w:color="auto"/>
        <w:left w:val="none" w:sz="0" w:space="0" w:color="auto"/>
        <w:bottom w:val="none" w:sz="0" w:space="0" w:color="auto"/>
        <w:right w:val="none" w:sz="0" w:space="0" w:color="auto"/>
      </w:divBdr>
    </w:div>
    <w:div w:id="670646298">
      <w:bodyDiv w:val="1"/>
      <w:marLeft w:val="0"/>
      <w:marRight w:val="0"/>
      <w:marTop w:val="0"/>
      <w:marBottom w:val="0"/>
      <w:divBdr>
        <w:top w:val="none" w:sz="0" w:space="0" w:color="auto"/>
        <w:left w:val="none" w:sz="0" w:space="0" w:color="auto"/>
        <w:bottom w:val="none" w:sz="0" w:space="0" w:color="auto"/>
        <w:right w:val="none" w:sz="0" w:space="0" w:color="auto"/>
      </w:divBdr>
    </w:div>
    <w:div w:id="1022897389">
      <w:bodyDiv w:val="1"/>
      <w:marLeft w:val="0"/>
      <w:marRight w:val="0"/>
      <w:marTop w:val="0"/>
      <w:marBottom w:val="0"/>
      <w:divBdr>
        <w:top w:val="none" w:sz="0" w:space="0" w:color="auto"/>
        <w:left w:val="none" w:sz="0" w:space="0" w:color="auto"/>
        <w:bottom w:val="none" w:sz="0" w:space="0" w:color="auto"/>
        <w:right w:val="none" w:sz="0" w:space="0" w:color="auto"/>
      </w:divBdr>
    </w:div>
    <w:div w:id="1174101912">
      <w:bodyDiv w:val="1"/>
      <w:marLeft w:val="0"/>
      <w:marRight w:val="0"/>
      <w:marTop w:val="0"/>
      <w:marBottom w:val="0"/>
      <w:divBdr>
        <w:top w:val="none" w:sz="0" w:space="0" w:color="auto"/>
        <w:left w:val="none" w:sz="0" w:space="0" w:color="auto"/>
        <w:bottom w:val="none" w:sz="0" w:space="0" w:color="auto"/>
        <w:right w:val="none" w:sz="0" w:space="0" w:color="auto"/>
      </w:divBdr>
    </w:div>
    <w:div w:id="1229652385">
      <w:bodyDiv w:val="1"/>
      <w:marLeft w:val="0"/>
      <w:marRight w:val="0"/>
      <w:marTop w:val="0"/>
      <w:marBottom w:val="0"/>
      <w:divBdr>
        <w:top w:val="none" w:sz="0" w:space="0" w:color="auto"/>
        <w:left w:val="none" w:sz="0" w:space="0" w:color="auto"/>
        <w:bottom w:val="none" w:sz="0" w:space="0" w:color="auto"/>
        <w:right w:val="none" w:sz="0" w:space="0" w:color="auto"/>
      </w:divBdr>
    </w:div>
    <w:div w:id="1690064190">
      <w:bodyDiv w:val="1"/>
      <w:marLeft w:val="0"/>
      <w:marRight w:val="0"/>
      <w:marTop w:val="0"/>
      <w:marBottom w:val="0"/>
      <w:divBdr>
        <w:top w:val="none" w:sz="0" w:space="0" w:color="auto"/>
        <w:left w:val="none" w:sz="0" w:space="0" w:color="auto"/>
        <w:bottom w:val="none" w:sz="0" w:space="0" w:color="auto"/>
        <w:right w:val="none" w:sz="0" w:space="0" w:color="auto"/>
      </w:divBdr>
    </w:div>
    <w:div w:id="1871871264">
      <w:bodyDiv w:val="1"/>
      <w:marLeft w:val="0"/>
      <w:marRight w:val="0"/>
      <w:marTop w:val="0"/>
      <w:marBottom w:val="0"/>
      <w:divBdr>
        <w:top w:val="none" w:sz="0" w:space="0" w:color="auto"/>
        <w:left w:val="none" w:sz="0" w:space="0" w:color="auto"/>
        <w:bottom w:val="none" w:sz="0" w:space="0" w:color="auto"/>
        <w:right w:val="none" w:sz="0" w:space="0" w:color="auto"/>
      </w:divBdr>
    </w:div>
    <w:div w:id="1931694439">
      <w:bodyDiv w:val="1"/>
      <w:marLeft w:val="0"/>
      <w:marRight w:val="0"/>
      <w:marTop w:val="0"/>
      <w:marBottom w:val="0"/>
      <w:divBdr>
        <w:top w:val="none" w:sz="0" w:space="0" w:color="auto"/>
        <w:left w:val="none" w:sz="0" w:space="0" w:color="auto"/>
        <w:bottom w:val="none" w:sz="0" w:space="0" w:color="auto"/>
        <w:right w:val="none" w:sz="0" w:space="0" w:color="auto"/>
      </w:divBdr>
    </w:div>
    <w:div w:id="2087262253">
      <w:bodyDiv w:val="1"/>
      <w:marLeft w:val="0"/>
      <w:marRight w:val="0"/>
      <w:marTop w:val="0"/>
      <w:marBottom w:val="0"/>
      <w:divBdr>
        <w:top w:val="none" w:sz="0" w:space="0" w:color="auto"/>
        <w:left w:val="none" w:sz="0" w:space="0" w:color="auto"/>
        <w:bottom w:val="none" w:sz="0" w:space="0" w:color="auto"/>
        <w:right w:val="none" w:sz="0" w:space="0" w:color="auto"/>
      </w:divBdr>
    </w:div>
    <w:div w:id="2093890994">
      <w:bodyDiv w:val="1"/>
      <w:marLeft w:val="0"/>
      <w:marRight w:val="0"/>
      <w:marTop w:val="0"/>
      <w:marBottom w:val="0"/>
      <w:divBdr>
        <w:top w:val="none" w:sz="0" w:space="0" w:color="auto"/>
        <w:left w:val="none" w:sz="0" w:space="0" w:color="auto"/>
        <w:bottom w:val="none" w:sz="0" w:space="0" w:color="auto"/>
        <w:right w:val="none" w:sz="0" w:space="0" w:color="auto"/>
      </w:divBdr>
    </w:div>
    <w:div w:id="212704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ora@ekcr.cz"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kc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DEE43-61F2-4E46-8EAC-3247B5AF5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5532</Words>
  <Characters>32639</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pravnik2</dc:creator>
  <cp:lastModifiedBy>pravnik2</cp:lastModifiedBy>
  <cp:revision>4</cp:revision>
  <dcterms:created xsi:type="dcterms:W3CDTF">2017-08-09T08:32:00Z</dcterms:created>
  <dcterms:modified xsi:type="dcterms:W3CDTF">2017-08-10T10:21:00Z</dcterms:modified>
</cp:coreProperties>
</file>