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665" w:rsidRPr="00496E1B" w:rsidRDefault="007C3665" w:rsidP="007C3665">
      <w:pPr>
        <w:spacing w:after="120" w:line="240" w:lineRule="auto"/>
        <w:jc w:val="right"/>
        <w:rPr>
          <w:rFonts w:ascii="Arial" w:eastAsia="Times New Roman" w:hAnsi="Arial" w:cs="Arial"/>
          <w:color w:val="A6A6A6"/>
          <w:sz w:val="24"/>
          <w:szCs w:val="24"/>
          <w:lang w:eastAsia="cs-CZ"/>
        </w:rPr>
      </w:pPr>
      <w:bookmarkStart w:id="0" w:name="_GoBack"/>
      <w:bookmarkEnd w:id="0"/>
      <w:r w:rsidRPr="00496E1B">
        <w:rPr>
          <w:rFonts w:ascii="Arial" w:eastAsia="Times New Roman" w:hAnsi="Arial" w:cs="Arial"/>
          <w:color w:val="A6A6A6"/>
          <w:sz w:val="24"/>
          <w:szCs w:val="24"/>
          <w:lang w:eastAsia="cs-CZ"/>
        </w:rPr>
        <w:t>III.</w:t>
      </w:r>
    </w:p>
    <w:p w:rsidR="007C3665" w:rsidRPr="00496E1B" w:rsidRDefault="007C3665" w:rsidP="007C3665">
      <w:pPr>
        <w:spacing w:after="120" w:line="240" w:lineRule="auto"/>
        <w:jc w:val="center"/>
        <w:rPr>
          <w:rFonts w:ascii="Arial" w:eastAsia="Times New Roman" w:hAnsi="Arial" w:cs="Arial"/>
          <w:b/>
          <w:sz w:val="28"/>
          <w:szCs w:val="28"/>
          <w:lang w:eastAsia="cs-CZ"/>
        </w:rPr>
      </w:pPr>
      <w:r w:rsidRPr="00496E1B">
        <w:rPr>
          <w:rFonts w:ascii="Arial" w:eastAsia="Times New Roman" w:hAnsi="Arial" w:cs="Arial"/>
          <w:b/>
          <w:sz w:val="28"/>
          <w:szCs w:val="28"/>
          <w:lang w:eastAsia="cs-CZ"/>
        </w:rPr>
        <w:t xml:space="preserve">Způsob výběru evropských žalobců a evropských pověřených žalobců za Českou republiku podle nařízení Rady </w:t>
      </w:r>
      <w:r w:rsidR="00C64A07" w:rsidRPr="00496E1B">
        <w:rPr>
          <w:rFonts w:ascii="Arial" w:eastAsia="Times New Roman" w:hAnsi="Arial" w:cs="Arial"/>
          <w:b/>
          <w:sz w:val="28"/>
          <w:szCs w:val="28"/>
          <w:lang w:eastAsia="cs-CZ"/>
        </w:rPr>
        <w:t xml:space="preserve">(EU) </w:t>
      </w:r>
      <w:r w:rsidRPr="00496E1B">
        <w:rPr>
          <w:rFonts w:ascii="Arial" w:eastAsia="Times New Roman" w:hAnsi="Arial" w:cs="Arial"/>
          <w:b/>
          <w:sz w:val="28"/>
          <w:szCs w:val="28"/>
          <w:lang w:eastAsia="cs-CZ"/>
        </w:rPr>
        <w:t>2017/1939 ze dne 12. října 2017, kterým se provádí posílená spolupráce za účelem zřízení Úřadu evropského veřejného žalobce</w:t>
      </w:r>
    </w:p>
    <w:p w:rsidR="007C3665" w:rsidRPr="00496E1B" w:rsidRDefault="007C3665" w:rsidP="007C3665">
      <w:pPr>
        <w:spacing w:after="120" w:line="240" w:lineRule="auto"/>
        <w:jc w:val="both"/>
        <w:rPr>
          <w:rFonts w:ascii="Arial" w:hAnsi="Arial" w:cs="Arial"/>
          <w:sz w:val="24"/>
          <w:szCs w:val="24"/>
        </w:rPr>
      </w:pPr>
    </w:p>
    <w:p w:rsidR="007C3665" w:rsidRPr="00496E1B" w:rsidRDefault="007C3665" w:rsidP="007C3665">
      <w:pPr>
        <w:spacing w:after="120" w:line="240" w:lineRule="auto"/>
        <w:jc w:val="both"/>
        <w:rPr>
          <w:rFonts w:ascii="Arial" w:hAnsi="Arial" w:cs="Arial"/>
          <w:sz w:val="24"/>
          <w:szCs w:val="24"/>
        </w:rPr>
      </w:pPr>
      <w:r w:rsidRPr="00496E1B">
        <w:rPr>
          <w:rFonts w:ascii="Arial" w:hAnsi="Arial" w:cs="Arial"/>
          <w:sz w:val="24"/>
          <w:szCs w:val="24"/>
        </w:rPr>
        <w:t xml:space="preserve">V návaznosti na schválení nařízení Rady </w:t>
      </w:r>
      <w:r w:rsidR="000D1FC1">
        <w:rPr>
          <w:rFonts w:ascii="Arial" w:hAnsi="Arial" w:cs="Arial"/>
          <w:sz w:val="24"/>
          <w:szCs w:val="24"/>
        </w:rPr>
        <w:t xml:space="preserve">(EU) </w:t>
      </w:r>
      <w:r w:rsidRPr="00496E1B">
        <w:rPr>
          <w:rFonts w:ascii="Arial" w:hAnsi="Arial" w:cs="Arial"/>
          <w:sz w:val="24"/>
          <w:szCs w:val="24"/>
        </w:rPr>
        <w:t xml:space="preserve">2017/1939 ze dne 12. října 2017, kterým se provádí posílená spolupráce za účelem zřízení Úřadu evropského veřejného žalobce (dále jen „nařízení EPPO“) Radou pro spravedlnost a vnitřní věci na jejím zasedání v říjnu 2017 a vstup nařízení EPPO v platnost dne 20. listopadu 2017 předkládá Ministerstvo spravedlnosti vládě nelegislativní materiál „Způsob výběru evropských žalobců a evropských pověřených žalobců za Českou republiku podle nařízení Rady 2017/1939 </w:t>
      </w:r>
      <w:r w:rsidR="000D1FC1">
        <w:rPr>
          <w:rFonts w:ascii="Arial" w:hAnsi="Arial" w:cs="Arial"/>
          <w:sz w:val="24"/>
          <w:szCs w:val="24"/>
        </w:rPr>
        <w:t xml:space="preserve">(EU) </w:t>
      </w:r>
      <w:r w:rsidRPr="00496E1B">
        <w:rPr>
          <w:rFonts w:ascii="Arial" w:hAnsi="Arial" w:cs="Arial"/>
          <w:sz w:val="24"/>
          <w:szCs w:val="24"/>
        </w:rPr>
        <w:t xml:space="preserve">ze dne 12. října 2017, kterým se provádí posílená spolupráce za účelem zřízení Úřadu evropského veřejného žalobce“, jehož obsahem jsou některé personální otázky spjaté se zřízením Úřadu evropského veřejného žalobce (dále jen „Úřad“). </w:t>
      </w:r>
    </w:p>
    <w:p w:rsidR="007C3665" w:rsidRPr="00496E1B" w:rsidRDefault="007C3665" w:rsidP="007C3665">
      <w:pPr>
        <w:spacing w:after="120" w:line="240" w:lineRule="auto"/>
        <w:jc w:val="both"/>
        <w:rPr>
          <w:rFonts w:ascii="Arial" w:hAnsi="Arial" w:cs="Arial"/>
          <w:sz w:val="24"/>
          <w:szCs w:val="24"/>
        </w:rPr>
      </w:pPr>
      <w:r w:rsidRPr="00496E1B">
        <w:rPr>
          <w:rFonts w:ascii="Arial" w:hAnsi="Arial" w:cs="Arial"/>
          <w:sz w:val="24"/>
          <w:szCs w:val="24"/>
        </w:rPr>
        <w:t xml:space="preserve">Předložený materiál obsahuje obecnou charakteristiku funkcí evropských žalobců a evropských pověřených žalobců, požadavky, které jsou nařízením EPPO kladeny na výkon obou těchto funkcí a návrh vnitrostátního postupu při výběru kandidátů na funkci evropského žalobce a evropských pověřených žalobců za Českou republiku. </w:t>
      </w:r>
    </w:p>
    <w:p w:rsidR="007C3665" w:rsidRPr="00496E1B" w:rsidRDefault="007C3665" w:rsidP="007C3665">
      <w:pPr>
        <w:spacing w:after="120" w:line="240" w:lineRule="auto"/>
        <w:jc w:val="both"/>
        <w:rPr>
          <w:rFonts w:ascii="Arial" w:hAnsi="Arial" w:cs="Arial"/>
          <w:sz w:val="24"/>
          <w:szCs w:val="24"/>
        </w:rPr>
      </w:pPr>
      <w:r w:rsidRPr="00496E1B">
        <w:rPr>
          <w:rFonts w:ascii="Arial" w:hAnsi="Arial" w:cs="Arial"/>
          <w:sz w:val="24"/>
          <w:szCs w:val="24"/>
        </w:rPr>
        <w:t>Vzhledem k tomu, že na pozici evropského nejvyššího žalobce, který bude stát v čele Úřadu, a na pozici správního ředitele, který bude odpovídat za rozpočtovou a administrativní stránku Úřadu, budou vyhlášena otevřená výběrová řízení organizovaná Komisí, není ani jedna z těchto pozic součástí předloženého materiálu.</w:t>
      </w:r>
    </w:p>
    <w:p w:rsidR="007C3665" w:rsidRPr="00496E1B" w:rsidRDefault="007C3665" w:rsidP="007C3665">
      <w:pPr>
        <w:spacing w:after="120" w:line="240" w:lineRule="auto"/>
        <w:jc w:val="both"/>
        <w:rPr>
          <w:rFonts w:ascii="Arial" w:hAnsi="Arial" w:cs="Arial"/>
          <w:sz w:val="24"/>
          <w:szCs w:val="24"/>
        </w:rPr>
      </w:pPr>
      <w:r w:rsidRPr="00496E1B">
        <w:rPr>
          <w:rFonts w:ascii="Arial" w:hAnsi="Arial" w:cs="Arial"/>
          <w:sz w:val="24"/>
          <w:szCs w:val="24"/>
        </w:rPr>
        <w:t xml:space="preserve">S ohledem na předpokládané uvedení evropských žalobců do funkce již </w:t>
      </w:r>
      <w:r w:rsidRPr="002E4936">
        <w:rPr>
          <w:rFonts w:ascii="Arial" w:hAnsi="Arial" w:cs="Arial"/>
          <w:sz w:val="24"/>
          <w:szCs w:val="24"/>
        </w:rPr>
        <w:t xml:space="preserve">k </w:t>
      </w:r>
      <w:r w:rsidRPr="00151F1D">
        <w:rPr>
          <w:rFonts w:ascii="Arial" w:hAnsi="Arial" w:cs="Arial"/>
          <w:sz w:val="24"/>
          <w:szCs w:val="24"/>
        </w:rPr>
        <w:t xml:space="preserve">1. </w:t>
      </w:r>
      <w:r w:rsidR="0019654A" w:rsidRPr="00151F1D">
        <w:rPr>
          <w:rFonts w:ascii="Arial" w:hAnsi="Arial" w:cs="Arial"/>
          <w:sz w:val="24"/>
          <w:szCs w:val="24"/>
        </w:rPr>
        <w:t xml:space="preserve">listopadu </w:t>
      </w:r>
      <w:r w:rsidRPr="00151F1D">
        <w:rPr>
          <w:rFonts w:ascii="Arial" w:hAnsi="Arial" w:cs="Arial"/>
          <w:sz w:val="24"/>
          <w:szCs w:val="24"/>
        </w:rPr>
        <w:t>2019</w:t>
      </w:r>
      <w:r w:rsidRPr="00496E1B">
        <w:rPr>
          <w:rFonts w:ascii="Arial" w:hAnsi="Arial" w:cs="Arial"/>
          <w:sz w:val="24"/>
          <w:szCs w:val="24"/>
        </w:rPr>
        <w:t xml:space="preserve"> a v případě evropských pověřených žalobců následně v den, kdy Úřad započne vykonávat svou činnost, je nutné rozhodnout o způsobu výběru českých zástupců do těchto funkcí co nejdříve.</w:t>
      </w:r>
    </w:p>
    <w:p w:rsidR="007C3665" w:rsidRPr="00496E1B" w:rsidRDefault="007C3665" w:rsidP="007C3665">
      <w:pPr>
        <w:spacing w:after="120" w:line="240" w:lineRule="auto"/>
        <w:jc w:val="both"/>
        <w:rPr>
          <w:rFonts w:ascii="Arial" w:hAnsi="Arial" w:cs="Arial"/>
          <w:sz w:val="24"/>
          <w:szCs w:val="24"/>
        </w:rPr>
      </w:pPr>
    </w:p>
    <w:p w:rsidR="007C3665" w:rsidRPr="00496E1B" w:rsidRDefault="007C3665" w:rsidP="007C3665">
      <w:pPr>
        <w:spacing w:after="120" w:line="240" w:lineRule="auto"/>
        <w:jc w:val="both"/>
        <w:rPr>
          <w:rFonts w:ascii="Arial" w:hAnsi="Arial" w:cs="Arial"/>
          <w:b/>
          <w:sz w:val="28"/>
          <w:szCs w:val="28"/>
        </w:rPr>
      </w:pPr>
      <w:r w:rsidRPr="00496E1B">
        <w:rPr>
          <w:rFonts w:ascii="Arial" w:hAnsi="Arial" w:cs="Arial"/>
          <w:b/>
          <w:sz w:val="28"/>
          <w:szCs w:val="28"/>
        </w:rPr>
        <w:t>Úvod</w:t>
      </w:r>
    </w:p>
    <w:p w:rsidR="007C3665" w:rsidRPr="00496E1B" w:rsidRDefault="007C3665" w:rsidP="007C3665">
      <w:pPr>
        <w:spacing w:after="120" w:line="240" w:lineRule="auto"/>
        <w:jc w:val="both"/>
        <w:rPr>
          <w:rFonts w:ascii="Arial" w:hAnsi="Arial" w:cs="Arial"/>
          <w:sz w:val="24"/>
          <w:szCs w:val="24"/>
        </w:rPr>
      </w:pPr>
      <w:r w:rsidRPr="00496E1B">
        <w:rPr>
          <w:rFonts w:ascii="Arial" w:hAnsi="Arial" w:cs="Arial"/>
          <w:sz w:val="24"/>
          <w:szCs w:val="24"/>
        </w:rPr>
        <w:t xml:space="preserve">Po </w:t>
      </w:r>
      <w:r w:rsidR="003453C0">
        <w:rPr>
          <w:rFonts w:ascii="Arial" w:hAnsi="Arial" w:cs="Arial"/>
          <w:sz w:val="24"/>
          <w:szCs w:val="24"/>
        </w:rPr>
        <w:t>takřka</w:t>
      </w:r>
      <w:r w:rsidRPr="00496E1B">
        <w:rPr>
          <w:rFonts w:ascii="Arial" w:hAnsi="Arial" w:cs="Arial"/>
          <w:sz w:val="24"/>
          <w:szCs w:val="24"/>
        </w:rPr>
        <w:t xml:space="preserve"> čtyřech letech vyjednávání přijala Rada pro spravedlnost a vnitřní věci v červnu 2017 k nařízení EPPO obecný přístup. Text nařízení byl následně přeložen do všech úředních jazyků Evropské unie a předložen ke schválení Evropskému parlamentu, který tak učinil na svém plenárním zasedání dne 5. října 2017,</w:t>
      </w:r>
      <w:r w:rsidRPr="00496E1B">
        <w:rPr>
          <w:rFonts w:ascii="Arial" w:hAnsi="Arial" w:cs="Arial"/>
        </w:rPr>
        <w:t xml:space="preserve"> </w:t>
      </w:r>
      <w:r w:rsidRPr="00496E1B">
        <w:rPr>
          <w:rFonts w:ascii="Arial" w:hAnsi="Arial" w:cs="Arial"/>
          <w:sz w:val="24"/>
          <w:szCs w:val="24"/>
        </w:rPr>
        <w:t>když pro hlasovalo 456 poslanců oproti 110 poslancům, kteří byli proti (60 poslanců se hlasování zdrželo). V souladu s čl. 86 odst. 1 Smlouvy o fungování Evropské unie schválila Rada pro spravedlnost a vnitřní věci nařízení EPPO na svém zasedání dne 12. října 2017. Nařízení bylo v Úředním věstníku Evropské unie publikováno dne 31. října 2017, v platnost pak vstoupilo dne 20. listopadu 2017.</w:t>
      </w:r>
    </w:p>
    <w:p w:rsidR="007C3665" w:rsidRPr="00496E1B" w:rsidRDefault="007C3665" w:rsidP="007C3665">
      <w:pPr>
        <w:spacing w:after="120" w:line="240" w:lineRule="auto"/>
        <w:jc w:val="both"/>
        <w:rPr>
          <w:rFonts w:ascii="Arial" w:hAnsi="Arial" w:cs="Arial"/>
          <w:sz w:val="24"/>
          <w:szCs w:val="24"/>
        </w:rPr>
      </w:pPr>
      <w:r w:rsidRPr="00496E1B">
        <w:rPr>
          <w:rFonts w:ascii="Arial" w:hAnsi="Arial" w:cs="Arial"/>
          <w:sz w:val="24"/>
          <w:szCs w:val="24"/>
        </w:rPr>
        <w:t xml:space="preserve">Úřad bude zřízen v režimu posílené spolupráce, ke které se zavázalo celkem </w:t>
      </w:r>
      <w:r w:rsidR="003453C0">
        <w:rPr>
          <w:rFonts w:ascii="Arial" w:hAnsi="Arial" w:cs="Arial"/>
          <w:sz w:val="24"/>
          <w:szCs w:val="24"/>
        </w:rPr>
        <w:t>dvaadvacet</w:t>
      </w:r>
      <w:r w:rsidR="003453C0" w:rsidRPr="00496E1B">
        <w:rPr>
          <w:rFonts w:ascii="Arial" w:hAnsi="Arial" w:cs="Arial"/>
          <w:sz w:val="24"/>
          <w:szCs w:val="24"/>
        </w:rPr>
        <w:t xml:space="preserve"> </w:t>
      </w:r>
      <w:r w:rsidRPr="00496E1B">
        <w:rPr>
          <w:rFonts w:ascii="Arial" w:hAnsi="Arial" w:cs="Arial"/>
          <w:sz w:val="24"/>
          <w:szCs w:val="24"/>
        </w:rPr>
        <w:t>členských států, a to </w:t>
      </w:r>
      <w:r w:rsidR="003453C0" w:rsidRPr="003453C0">
        <w:rPr>
          <w:rFonts w:ascii="Arial" w:hAnsi="Arial" w:cs="Arial"/>
          <w:sz w:val="24"/>
          <w:szCs w:val="24"/>
        </w:rPr>
        <w:t>Belgie, Bulharsko, Česká republika, Estonsko, Finsko, Francie, Chorvatsko, Itálie, Kypr, Litva, Lotyšsko, Lucembursko, Malta, Německo, Nizozemsko, Portugalsko, Rakousko, Rumunsko, Řecko, Slovensko, Slovinsko a Španělsko</w:t>
      </w:r>
      <w:r w:rsidRPr="00496E1B">
        <w:rPr>
          <w:rFonts w:ascii="Arial" w:hAnsi="Arial" w:cs="Arial"/>
          <w:sz w:val="24"/>
          <w:szCs w:val="24"/>
        </w:rPr>
        <w:t xml:space="preserve">. V souladu s čl. 120 odst. 2 nařízení EPPO by měl Úřad začít </w:t>
      </w:r>
      <w:r w:rsidRPr="00496E1B">
        <w:rPr>
          <w:rFonts w:ascii="Arial" w:hAnsi="Arial" w:cs="Arial"/>
          <w:sz w:val="24"/>
          <w:szCs w:val="24"/>
        </w:rPr>
        <w:lastRenderedPageBreak/>
        <w:t>plnit své úkoly v rámci vyšetřování a trestního stíhání, které mu nařízení EPPO ukládá, ke dni určenému Komisí, nejdříve však tři roky po vstupu nařízení v platnost, tzn. nejdříve k 20. listopadu 2020. Sídlem Úřadu bude Lucemburk.</w:t>
      </w:r>
    </w:p>
    <w:p w:rsidR="003745A8" w:rsidRPr="00496E1B" w:rsidRDefault="007C3665" w:rsidP="007C3665">
      <w:pPr>
        <w:spacing w:after="120" w:line="240" w:lineRule="auto"/>
        <w:jc w:val="both"/>
        <w:rPr>
          <w:rFonts w:ascii="Arial" w:hAnsi="Arial" w:cs="Arial"/>
          <w:sz w:val="24"/>
          <w:szCs w:val="24"/>
        </w:rPr>
      </w:pPr>
      <w:r w:rsidRPr="00496E1B">
        <w:rPr>
          <w:rFonts w:ascii="Arial" w:hAnsi="Arial" w:cs="Arial"/>
          <w:sz w:val="24"/>
          <w:szCs w:val="24"/>
        </w:rPr>
        <w:t xml:space="preserve">Ministerstvo spravedlnosti vzhledem k mimořádné složitosti a rozsáhlosti nařízení a nutnosti změn vnitrostátního právních předpisů v souvislosti s ustanovením Úřadu již započalo proces adaptace nařízení. V této věci proběhla dne 7. listopadu 2017 a 16. ledna 2018 jednání zástupců Ministerstva spravedlnosti se zástupci Nejvyššího státního zastupitelství, kde byly diskutovány zejména personální otázky a potřebné legislativní změny. </w:t>
      </w:r>
      <w:r w:rsidR="003745A8" w:rsidRPr="00496E1B">
        <w:rPr>
          <w:rFonts w:ascii="Arial" w:hAnsi="Arial" w:cs="Arial"/>
          <w:sz w:val="24"/>
          <w:szCs w:val="24"/>
        </w:rPr>
        <w:t xml:space="preserve">Další komunikace s Nejvyšším státním zastupitelstvím probíhá průběžně. </w:t>
      </w:r>
    </w:p>
    <w:p w:rsidR="003745A8" w:rsidRDefault="003745A8" w:rsidP="007C3665">
      <w:pPr>
        <w:spacing w:after="120" w:line="240" w:lineRule="auto"/>
        <w:jc w:val="both"/>
        <w:rPr>
          <w:rFonts w:ascii="Arial" w:hAnsi="Arial" w:cs="Arial"/>
          <w:sz w:val="24"/>
          <w:szCs w:val="24"/>
        </w:rPr>
      </w:pPr>
      <w:r w:rsidRPr="00C57E5B">
        <w:rPr>
          <w:rFonts w:ascii="Arial" w:hAnsi="Arial" w:cs="Arial"/>
          <w:sz w:val="24"/>
          <w:szCs w:val="24"/>
        </w:rPr>
        <w:t>Dne 15. 5. 2018 byl dán do připomínkového řízení návrh zákona, kterým se mění zákon č. 283/1993 Sb., o státním zastupitelství, ve znění pozd</w:t>
      </w:r>
      <w:r w:rsidRPr="00634F9A">
        <w:rPr>
          <w:rFonts w:ascii="Arial" w:hAnsi="Arial" w:cs="Arial"/>
          <w:sz w:val="24"/>
          <w:szCs w:val="24"/>
        </w:rPr>
        <w:t>ějších předpisů, zákon č. 141/1961 Sb., o trestním řízení soudním (trestní řád), ve znění pozdějších předpisů, zákon č. 40/2009 Sb., trestní zákoník, ve znění pozdějších předpisů, a některé další zákony.</w:t>
      </w:r>
      <w:r w:rsidRPr="00496E1B">
        <w:rPr>
          <w:rFonts w:ascii="Arial" w:hAnsi="Arial" w:cs="Arial"/>
          <w:sz w:val="24"/>
          <w:szCs w:val="24"/>
        </w:rPr>
        <w:t xml:space="preserve"> Návrh má za cíl úpravu trestného činu poškození finančních zájmů Evropské Unie podle § 260 trestního zákoníku za účelem zajištění slučitelnosti českého právního řádu se směrnicí Evropského parlamentu a Rady (EU) 2017/1371 o boji vedeném trestněprávní cestou proti podvodům poškozujícím nebo ohrožujícím finanční zájmy Unie. Rovněž představuje adaptační úpravu ohledně postavení státních zástupců, kteří budou jmenováni do funkce evropských žalobců k Úřadu.</w:t>
      </w:r>
      <w:r w:rsidR="00C57E5B">
        <w:rPr>
          <w:rFonts w:ascii="Arial" w:hAnsi="Arial" w:cs="Arial"/>
          <w:sz w:val="24"/>
          <w:szCs w:val="24"/>
        </w:rPr>
        <w:t xml:space="preserve"> </w:t>
      </w:r>
    </w:p>
    <w:p w:rsidR="00C57E5B" w:rsidRPr="00496E1B" w:rsidRDefault="00C57E5B" w:rsidP="007C3665">
      <w:pPr>
        <w:spacing w:after="120" w:line="240" w:lineRule="auto"/>
        <w:jc w:val="both"/>
        <w:rPr>
          <w:rFonts w:ascii="Arial" w:hAnsi="Arial" w:cs="Arial"/>
          <w:sz w:val="24"/>
          <w:szCs w:val="24"/>
        </w:rPr>
      </w:pPr>
      <w:r>
        <w:rPr>
          <w:rFonts w:ascii="Arial" w:hAnsi="Arial" w:cs="Arial"/>
          <w:sz w:val="24"/>
          <w:szCs w:val="24"/>
        </w:rPr>
        <w:t xml:space="preserve">V září 2018 byla Evropskou komisí distribuována dosud nejaktuálnější pracovní verze </w:t>
      </w:r>
      <w:r w:rsidR="006117EC">
        <w:rPr>
          <w:rFonts w:ascii="Arial" w:hAnsi="Arial" w:cs="Arial"/>
          <w:sz w:val="24"/>
          <w:szCs w:val="24"/>
        </w:rPr>
        <w:t xml:space="preserve">požadavků na osobu evropského veřejného žalobce a předpoklad jeho platových poměrů a dalšího </w:t>
      </w:r>
      <w:r w:rsidR="00634F9A">
        <w:rPr>
          <w:rFonts w:ascii="Arial" w:hAnsi="Arial" w:cs="Arial"/>
          <w:sz w:val="24"/>
          <w:szCs w:val="24"/>
        </w:rPr>
        <w:t>materiálního zajištění</w:t>
      </w:r>
      <w:r w:rsidR="006117EC">
        <w:rPr>
          <w:rFonts w:ascii="Arial" w:hAnsi="Arial" w:cs="Arial"/>
          <w:sz w:val="24"/>
          <w:szCs w:val="24"/>
        </w:rPr>
        <w:t>.</w:t>
      </w:r>
      <w:r w:rsidR="00435173">
        <w:rPr>
          <w:rFonts w:ascii="Arial" w:hAnsi="Arial" w:cs="Arial"/>
          <w:sz w:val="24"/>
          <w:szCs w:val="24"/>
        </w:rPr>
        <w:t xml:space="preserve"> Oficiální verze </w:t>
      </w:r>
      <w:r w:rsidR="00357065">
        <w:rPr>
          <w:rFonts w:ascii="Arial" w:hAnsi="Arial" w:cs="Arial"/>
          <w:sz w:val="24"/>
          <w:szCs w:val="24"/>
        </w:rPr>
        <w:t>dosud rozeslána nebyla</w:t>
      </w:r>
      <w:r w:rsidR="00435173">
        <w:rPr>
          <w:rFonts w:ascii="Arial" w:hAnsi="Arial" w:cs="Arial"/>
          <w:sz w:val="24"/>
          <w:szCs w:val="24"/>
        </w:rPr>
        <w:t>.</w:t>
      </w:r>
    </w:p>
    <w:p w:rsidR="007C3665" w:rsidRPr="00496E1B" w:rsidRDefault="007C3665" w:rsidP="007C3665">
      <w:pPr>
        <w:spacing w:after="120" w:line="240" w:lineRule="auto"/>
        <w:jc w:val="both"/>
        <w:rPr>
          <w:rFonts w:ascii="Arial" w:hAnsi="Arial" w:cs="Arial"/>
          <w:sz w:val="24"/>
          <w:szCs w:val="24"/>
        </w:rPr>
      </w:pPr>
    </w:p>
    <w:p w:rsidR="007C3665" w:rsidRPr="00496E1B" w:rsidRDefault="007C3665" w:rsidP="007C3665">
      <w:pPr>
        <w:spacing w:after="120" w:line="240" w:lineRule="auto"/>
        <w:jc w:val="both"/>
        <w:rPr>
          <w:rFonts w:ascii="Arial" w:hAnsi="Arial" w:cs="Arial"/>
          <w:b/>
          <w:sz w:val="28"/>
          <w:szCs w:val="28"/>
        </w:rPr>
      </w:pPr>
      <w:r w:rsidRPr="00496E1B">
        <w:rPr>
          <w:rFonts w:ascii="Arial" w:hAnsi="Arial" w:cs="Arial"/>
          <w:b/>
          <w:sz w:val="28"/>
          <w:szCs w:val="28"/>
        </w:rPr>
        <w:t>Evropský žalobce</w:t>
      </w:r>
    </w:p>
    <w:p w:rsidR="007C3665" w:rsidRPr="00496E1B" w:rsidRDefault="007C3665" w:rsidP="007C3665">
      <w:pPr>
        <w:spacing w:after="120" w:line="240" w:lineRule="auto"/>
        <w:jc w:val="both"/>
        <w:rPr>
          <w:rFonts w:ascii="Arial" w:hAnsi="Arial" w:cs="Arial"/>
          <w:sz w:val="24"/>
          <w:szCs w:val="24"/>
        </w:rPr>
      </w:pPr>
      <w:r w:rsidRPr="00496E1B">
        <w:rPr>
          <w:rFonts w:ascii="Arial" w:hAnsi="Arial" w:cs="Arial"/>
          <w:sz w:val="24"/>
          <w:szCs w:val="24"/>
        </w:rPr>
        <w:t xml:space="preserve">Úřad bude nezávislou unijní institucí, která bude fungovat na dvou úrovních – centrální a decentralizované. Centrální úroveň bude tvořena evropským nejvyšším žalobcem, </w:t>
      </w:r>
      <w:r w:rsidR="003453C0">
        <w:rPr>
          <w:rFonts w:ascii="Arial" w:hAnsi="Arial" w:cs="Arial"/>
          <w:sz w:val="24"/>
          <w:szCs w:val="24"/>
        </w:rPr>
        <w:t>jednotlivými</w:t>
      </w:r>
      <w:r w:rsidR="003453C0" w:rsidRPr="00496E1B">
        <w:rPr>
          <w:rFonts w:ascii="Arial" w:hAnsi="Arial" w:cs="Arial"/>
          <w:sz w:val="24"/>
          <w:szCs w:val="24"/>
        </w:rPr>
        <w:t xml:space="preserve"> </w:t>
      </w:r>
      <w:r w:rsidRPr="00496E1B">
        <w:rPr>
          <w:rFonts w:ascii="Arial" w:hAnsi="Arial" w:cs="Arial"/>
          <w:sz w:val="24"/>
          <w:szCs w:val="24"/>
        </w:rPr>
        <w:t>evropskými žalobci, tak aby byl zastoupen každých členský stát účastnící se posílené spolupráce, správním ředitelem a případně dalšími specializovanými odborníky. Evropský nejvyšší žalobce a evropští žalobci, z nichž dva budou mít funkci náměstků evropského nejvyššího žalobce, budou tvořit kolegium, které bude zodpovědné za obecný dohled nad činnostmi Úřadu a rozhodování ve strategických otázkách. Členové kolegia pak budou rozděleni do tříčlenných stálých komor, které budou dohlížet nad konkrétními vyšetřováními a trestními stíháními vedenými evropskými pověřenými žalobci v jejich členských státech.</w:t>
      </w:r>
    </w:p>
    <w:p w:rsidR="007C3665" w:rsidRDefault="007C3665" w:rsidP="007C3665">
      <w:pPr>
        <w:spacing w:after="120" w:line="240" w:lineRule="auto"/>
        <w:jc w:val="both"/>
        <w:rPr>
          <w:rFonts w:ascii="Arial" w:hAnsi="Arial" w:cs="Arial"/>
          <w:sz w:val="24"/>
          <w:szCs w:val="24"/>
        </w:rPr>
      </w:pPr>
      <w:r w:rsidRPr="00496E1B">
        <w:rPr>
          <w:rFonts w:ascii="Arial" w:hAnsi="Arial" w:cs="Arial"/>
          <w:sz w:val="24"/>
          <w:szCs w:val="24"/>
        </w:rPr>
        <w:t>Nejdůležitějším úkolem kolegia na počátku jeho fungování bude bezesporu schválení vnitřního jednacího řádu Úřadu, který by měl specifikovat mj. počet a složení stálých komor, mechanismus zastupování mezi evropskými žalobci nebo sloučení případů, které jsou projednávány různými Stálými komorami. Důvodem pro dohled nad vyšetřováními a trestními stíháními vedenými v jednotlivých členských státech na centrální úrovni je zajištění účinné koordinace a jednotného přístupu v rámci Unie.</w:t>
      </w:r>
    </w:p>
    <w:p w:rsidR="00165639" w:rsidRDefault="00165639" w:rsidP="007C3665">
      <w:pPr>
        <w:spacing w:after="120" w:line="240" w:lineRule="auto"/>
        <w:jc w:val="both"/>
        <w:rPr>
          <w:rFonts w:ascii="Arial" w:hAnsi="Arial" w:cs="Arial"/>
          <w:sz w:val="24"/>
          <w:szCs w:val="24"/>
        </w:rPr>
      </w:pPr>
    </w:p>
    <w:p w:rsidR="00165639" w:rsidRDefault="00165639" w:rsidP="007C3665">
      <w:pPr>
        <w:spacing w:after="120" w:line="240" w:lineRule="auto"/>
        <w:jc w:val="both"/>
        <w:rPr>
          <w:rFonts w:ascii="Arial" w:hAnsi="Arial" w:cs="Arial"/>
          <w:sz w:val="24"/>
          <w:szCs w:val="24"/>
        </w:rPr>
      </w:pPr>
    </w:p>
    <w:p w:rsidR="007C3665" w:rsidRPr="00496E1B" w:rsidRDefault="007C3665" w:rsidP="007C3665">
      <w:pPr>
        <w:numPr>
          <w:ilvl w:val="0"/>
          <w:numId w:val="2"/>
        </w:numPr>
        <w:spacing w:after="120" w:line="240" w:lineRule="auto"/>
        <w:ind w:left="284" w:hanging="284"/>
        <w:jc w:val="both"/>
        <w:rPr>
          <w:rFonts w:ascii="Arial" w:hAnsi="Arial" w:cs="Arial"/>
          <w:b/>
          <w:sz w:val="24"/>
          <w:szCs w:val="24"/>
        </w:rPr>
      </w:pPr>
      <w:r w:rsidRPr="00496E1B">
        <w:rPr>
          <w:rFonts w:ascii="Arial" w:hAnsi="Arial" w:cs="Arial"/>
          <w:b/>
          <w:sz w:val="24"/>
          <w:szCs w:val="24"/>
        </w:rPr>
        <w:lastRenderedPageBreak/>
        <w:t>požadavky pro výkon funkce</w:t>
      </w:r>
    </w:p>
    <w:p w:rsidR="007C3665" w:rsidRPr="00496E1B" w:rsidRDefault="007C3665" w:rsidP="007C3665">
      <w:pPr>
        <w:spacing w:after="120" w:line="240" w:lineRule="auto"/>
        <w:jc w:val="both"/>
        <w:rPr>
          <w:rFonts w:ascii="Arial" w:hAnsi="Arial" w:cs="Arial"/>
          <w:sz w:val="24"/>
          <w:szCs w:val="24"/>
        </w:rPr>
      </w:pPr>
      <w:r w:rsidRPr="00496E1B">
        <w:rPr>
          <w:rFonts w:ascii="Arial" w:hAnsi="Arial" w:cs="Arial"/>
          <w:sz w:val="24"/>
          <w:szCs w:val="24"/>
        </w:rPr>
        <w:t xml:space="preserve">Každý členský stát by měl navrhnout tři kandidáty na funkci evropského žalobce, z nichž Rada vybere prostou většinou jednoho, kterého do této funkce jmenuje na funkční období šesti let. Toto funkční období je neobnovitelné, avšak může být rozhodnutím Rady prodlouženo o další tři roky. Evropský žalobce tedy může svou funkci vykonávat maximálně devět let. Nařízení navíc každé tři roky počítá s obměnou jedné třetiny evropských žalobců. Rada rozhoduje na základě doporučení výběrové komise, jejíž složení je stejné jako v případě výběru evropského nejvyššího žalobce a jde tedy o dvanáct osob vybraných mezi bývalými členy Soudního dvora Evropské unie a Účetního dvora, bývalými národními členy </w:t>
      </w:r>
      <w:proofErr w:type="spellStart"/>
      <w:r w:rsidRPr="00496E1B">
        <w:rPr>
          <w:rFonts w:ascii="Arial" w:hAnsi="Arial" w:cs="Arial"/>
          <w:sz w:val="24"/>
          <w:szCs w:val="24"/>
        </w:rPr>
        <w:t>Eurojustu</w:t>
      </w:r>
      <w:proofErr w:type="spellEnd"/>
      <w:r w:rsidRPr="00496E1B">
        <w:rPr>
          <w:rFonts w:ascii="Arial" w:hAnsi="Arial" w:cs="Arial"/>
          <w:sz w:val="24"/>
          <w:szCs w:val="24"/>
        </w:rPr>
        <w:t>, členy nejvyšších vnitrostátních soudů, státními zástupci na vysoké úrovni a obecně uznávanými právníky.</w:t>
      </w:r>
    </w:p>
    <w:p w:rsidR="007C3665" w:rsidRPr="00496E1B" w:rsidRDefault="007C3665" w:rsidP="007C3665">
      <w:pPr>
        <w:spacing w:after="120" w:line="240" w:lineRule="auto"/>
        <w:jc w:val="both"/>
        <w:rPr>
          <w:rFonts w:ascii="Arial" w:hAnsi="Arial" w:cs="Arial"/>
          <w:sz w:val="24"/>
          <w:szCs w:val="24"/>
        </w:rPr>
      </w:pPr>
      <w:r w:rsidRPr="00496E1B">
        <w:rPr>
          <w:rFonts w:ascii="Arial" w:hAnsi="Arial" w:cs="Arial"/>
          <w:sz w:val="24"/>
          <w:szCs w:val="24"/>
        </w:rPr>
        <w:t>Pro funkci evropského žalobce stanoví nařízení tato kritéria:</w:t>
      </w:r>
    </w:p>
    <w:p w:rsidR="007C3665" w:rsidRPr="00496E1B" w:rsidRDefault="007C3665" w:rsidP="007C3665">
      <w:pPr>
        <w:numPr>
          <w:ilvl w:val="0"/>
          <w:numId w:val="3"/>
        </w:numPr>
        <w:spacing w:after="120" w:line="240" w:lineRule="auto"/>
        <w:ind w:left="284" w:hanging="284"/>
        <w:jc w:val="both"/>
        <w:rPr>
          <w:rFonts w:ascii="Arial" w:hAnsi="Arial" w:cs="Arial"/>
          <w:sz w:val="24"/>
          <w:szCs w:val="24"/>
        </w:rPr>
      </w:pPr>
      <w:r w:rsidRPr="00496E1B">
        <w:rPr>
          <w:rFonts w:ascii="Arial" w:hAnsi="Arial" w:cs="Arial"/>
          <w:sz w:val="24"/>
          <w:szCs w:val="24"/>
        </w:rPr>
        <w:t>aktivní členství ve státním zastupitelství nebo jiném justičním orgánu v příslušném členském státě;</w:t>
      </w:r>
    </w:p>
    <w:p w:rsidR="007C3665" w:rsidRPr="00496E1B" w:rsidRDefault="007C3665" w:rsidP="007C3665">
      <w:pPr>
        <w:numPr>
          <w:ilvl w:val="0"/>
          <w:numId w:val="3"/>
        </w:numPr>
        <w:spacing w:after="120" w:line="240" w:lineRule="auto"/>
        <w:ind w:left="284" w:hanging="284"/>
        <w:jc w:val="both"/>
        <w:rPr>
          <w:rFonts w:ascii="Arial" w:hAnsi="Arial" w:cs="Arial"/>
          <w:sz w:val="24"/>
          <w:szCs w:val="24"/>
        </w:rPr>
      </w:pPr>
      <w:r w:rsidRPr="00496E1B">
        <w:rPr>
          <w:rFonts w:ascii="Arial" w:hAnsi="Arial" w:cs="Arial"/>
          <w:sz w:val="24"/>
          <w:szCs w:val="24"/>
        </w:rPr>
        <w:t>veškeré záruky nezávislosti; a</w:t>
      </w:r>
    </w:p>
    <w:p w:rsidR="007C3665" w:rsidRPr="00496E1B" w:rsidRDefault="007C3665" w:rsidP="007C3665">
      <w:pPr>
        <w:numPr>
          <w:ilvl w:val="0"/>
          <w:numId w:val="3"/>
        </w:numPr>
        <w:spacing w:after="120" w:line="240" w:lineRule="auto"/>
        <w:ind w:left="284" w:hanging="284"/>
        <w:jc w:val="both"/>
        <w:rPr>
          <w:rFonts w:ascii="Arial" w:hAnsi="Arial" w:cs="Arial"/>
          <w:sz w:val="24"/>
          <w:szCs w:val="24"/>
        </w:rPr>
      </w:pPr>
      <w:r w:rsidRPr="00496E1B">
        <w:rPr>
          <w:rFonts w:ascii="Arial" w:hAnsi="Arial" w:cs="Arial"/>
          <w:sz w:val="24"/>
          <w:szCs w:val="24"/>
        </w:rPr>
        <w:t>kvalifikaci nezbytnou v členských státech evropských žalobců ke jmenování do vysokých funkcí v rámci státního zastupitelství nebo soudů</w:t>
      </w:r>
      <w:r w:rsidRPr="00496E1B">
        <w:rPr>
          <w:rFonts w:ascii="Arial" w:hAnsi="Arial" w:cs="Arial"/>
          <w:sz w:val="24"/>
          <w:szCs w:val="24"/>
          <w:vertAlign w:val="superscript"/>
        </w:rPr>
        <w:footnoteReference w:id="1"/>
      </w:r>
      <w:r w:rsidRPr="00496E1B">
        <w:rPr>
          <w:rFonts w:ascii="Arial" w:hAnsi="Arial" w:cs="Arial"/>
          <w:sz w:val="24"/>
          <w:szCs w:val="24"/>
        </w:rPr>
        <w:t xml:space="preserve"> a relevantní praktické zkušenosti s vnitrostátními právními systémy, finančním šetřením a s mezinárodní justiční spoluprací ve věcech trestních.</w:t>
      </w:r>
    </w:p>
    <w:p w:rsidR="007C3665" w:rsidRPr="00496E1B" w:rsidRDefault="007C3665" w:rsidP="007C3665">
      <w:pPr>
        <w:spacing w:after="120" w:line="240" w:lineRule="auto"/>
        <w:jc w:val="both"/>
        <w:rPr>
          <w:rFonts w:ascii="Arial" w:hAnsi="Arial" w:cs="Arial"/>
          <w:sz w:val="24"/>
          <w:szCs w:val="24"/>
        </w:rPr>
      </w:pPr>
      <w:r w:rsidRPr="00496E1B">
        <w:rPr>
          <w:rFonts w:ascii="Arial" w:hAnsi="Arial" w:cs="Arial"/>
          <w:sz w:val="24"/>
          <w:szCs w:val="24"/>
        </w:rPr>
        <w:t>Při jmenování evropského žalobce určí kolegium k jeho zastupování jednoho z evropských pověřených žalobců ze stejného členského státu pro případ, že evropský žalobce odstoupí, je propuštěn nebo není schopen vykonávat funkci z jakéhokoli jiného důvodu jako je např. dlouhodobá nemoc. Maximální délka takového zastupování je stanovena na tři měsíce, kolegium ji však může v případě nutnosti prodloužit. Po dobu zastupování by daný evropský pověřený žalobce neměl být odpovědný za vyšetřování a trestní stíhání, která vedl z funkce evropského pověřeného žalobce nebo jako vnitrostátní žalobce.</w:t>
      </w:r>
    </w:p>
    <w:p w:rsidR="007C3665" w:rsidRDefault="007C3665" w:rsidP="007C3665">
      <w:pPr>
        <w:spacing w:after="120" w:line="240" w:lineRule="auto"/>
        <w:jc w:val="both"/>
        <w:rPr>
          <w:rFonts w:ascii="Arial" w:hAnsi="Arial" w:cs="Arial"/>
          <w:sz w:val="24"/>
          <w:szCs w:val="24"/>
        </w:rPr>
      </w:pPr>
      <w:r w:rsidRPr="00496E1B">
        <w:rPr>
          <w:rFonts w:ascii="Arial" w:hAnsi="Arial" w:cs="Arial"/>
          <w:sz w:val="24"/>
          <w:szCs w:val="24"/>
        </w:rPr>
        <w:t>Evropští žalobci budou stejně jako evropský nejvyšší žalobce zaměstnáni jako dočasní zaměstnanci Úřadu podle čl. 2 písm. a)</w:t>
      </w:r>
      <w:r w:rsidRPr="00496E1B">
        <w:rPr>
          <w:rFonts w:ascii="Arial" w:hAnsi="Arial" w:cs="Arial"/>
          <w:sz w:val="24"/>
          <w:szCs w:val="24"/>
          <w:vertAlign w:val="superscript"/>
        </w:rPr>
        <w:footnoteReference w:id="2"/>
      </w:r>
      <w:r w:rsidRPr="00496E1B">
        <w:rPr>
          <w:rFonts w:ascii="Arial" w:hAnsi="Arial" w:cs="Arial"/>
          <w:sz w:val="24"/>
          <w:szCs w:val="24"/>
        </w:rPr>
        <w:t xml:space="preserve"> Pracovního řádu ostatních zaměstnanců Evropské unie.</w:t>
      </w:r>
      <w:r w:rsidRPr="00496E1B">
        <w:rPr>
          <w:rFonts w:ascii="Arial" w:hAnsi="Arial" w:cs="Arial"/>
          <w:sz w:val="24"/>
          <w:szCs w:val="24"/>
          <w:vertAlign w:val="superscript"/>
        </w:rPr>
        <w:footnoteReference w:id="3"/>
      </w:r>
    </w:p>
    <w:p w:rsidR="00165639" w:rsidRDefault="00165639" w:rsidP="007C3665">
      <w:pPr>
        <w:spacing w:after="120" w:line="240" w:lineRule="auto"/>
        <w:jc w:val="both"/>
        <w:rPr>
          <w:rFonts w:ascii="Arial" w:hAnsi="Arial" w:cs="Arial"/>
          <w:sz w:val="24"/>
          <w:szCs w:val="24"/>
        </w:rPr>
      </w:pPr>
    </w:p>
    <w:p w:rsidR="00165639" w:rsidRDefault="00165639" w:rsidP="007C3665">
      <w:pPr>
        <w:spacing w:after="120" w:line="240" w:lineRule="auto"/>
        <w:jc w:val="both"/>
        <w:rPr>
          <w:rFonts w:ascii="Arial" w:hAnsi="Arial" w:cs="Arial"/>
          <w:sz w:val="24"/>
          <w:szCs w:val="24"/>
        </w:rPr>
      </w:pPr>
    </w:p>
    <w:p w:rsidR="00165639" w:rsidRPr="00496E1B" w:rsidRDefault="00165639" w:rsidP="007C3665">
      <w:pPr>
        <w:spacing w:after="120" w:line="240" w:lineRule="auto"/>
        <w:jc w:val="both"/>
        <w:rPr>
          <w:rFonts w:ascii="Arial" w:hAnsi="Arial" w:cs="Arial"/>
          <w:sz w:val="24"/>
          <w:szCs w:val="24"/>
        </w:rPr>
      </w:pPr>
    </w:p>
    <w:p w:rsidR="007C3665" w:rsidRPr="00496E1B" w:rsidRDefault="007C3665" w:rsidP="007C3665">
      <w:pPr>
        <w:numPr>
          <w:ilvl w:val="0"/>
          <w:numId w:val="2"/>
        </w:numPr>
        <w:spacing w:after="120" w:line="240" w:lineRule="auto"/>
        <w:ind w:left="284" w:hanging="284"/>
        <w:jc w:val="both"/>
        <w:rPr>
          <w:rFonts w:ascii="Arial" w:hAnsi="Arial" w:cs="Arial"/>
          <w:b/>
          <w:sz w:val="24"/>
          <w:szCs w:val="24"/>
        </w:rPr>
      </w:pPr>
      <w:r w:rsidRPr="00496E1B">
        <w:rPr>
          <w:rFonts w:ascii="Arial" w:hAnsi="Arial" w:cs="Arial"/>
          <w:b/>
          <w:sz w:val="24"/>
          <w:szCs w:val="24"/>
        </w:rPr>
        <w:lastRenderedPageBreak/>
        <w:t xml:space="preserve">návrh způsobu výběru kandidáta na evropského žalobce  </w:t>
      </w:r>
    </w:p>
    <w:p w:rsidR="007C3665" w:rsidRPr="00496E1B" w:rsidRDefault="007C3665" w:rsidP="007C3665">
      <w:pPr>
        <w:spacing w:after="120" w:line="240" w:lineRule="auto"/>
        <w:jc w:val="both"/>
        <w:rPr>
          <w:rFonts w:ascii="Arial" w:hAnsi="Arial" w:cs="Arial"/>
          <w:sz w:val="24"/>
          <w:szCs w:val="24"/>
        </w:rPr>
      </w:pPr>
      <w:r w:rsidRPr="00496E1B">
        <w:rPr>
          <w:rFonts w:ascii="Arial" w:hAnsi="Arial" w:cs="Arial"/>
          <w:sz w:val="24"/>
          <w:szCs w:val="24"/>
        </w:rPr>
        <w:t xml:space="preserve">Jak je již uvedeno výše, členské státy pouze navrhují tři možné kandidáty splňující požadavky nařízení na funkci evropského žalobce, výběr samotného evropského žalobce probíhá na úrovni Unie. </w:t>
      </w:r>
    </w:p>
    <w:p w:rsidR="007C3665" w:rsidRPr="00496E1B" w:rsidRDefault="007C3665" w:rsidP="007C3665">
      <w:pPr>
        <w:spacing w:after="120" w:line="240" w:lineRule="auto"/>
        <w:jc w:val="both"/>
        <w:rPr>
          <w:rFonts w:ascii="Arial" w:hAnsi="Arial" w:cs="Arial"/>
          <w:sz w:val="24"/>
          <w:szCs w:val="24"/>
        </w:rPr>
      </w:pPr>
      <w:r w:rsidRPr="00496E1B">
        <w:rPr>
          <w:rFonts w:ascii="Arial" w:hAnsi="Arial" w:cs="Arial"/>
          <w:sz w:val="24"/>
          <w:szCs w:val="24"/>
        </w:rPr>
        <w:t>Vzhledem k významu funkce evropského žalobce a vzhledem ke skutečnosti, že evropský žalobce bude reprezentovat Českou republiku ve významné unijní instituci, přiklání se Ministerstvo spravedlnosti po konzultacích s Nejvyšším státním zastupitelstvím k tomu, že</w:t>
      </w:r>
    </w:p>
    <w:p w:rsidR="00880EFB" w:rsidRPr="00496E1B" w:rsidRDefault="00880EFB" w:rsidP="00880EFB">
      <w:pPr>
        <w:numPr>
          <w:ilvl w:val="0"/>
          <w:numId w:val="3"/>
        </w:numPr>
        <w:spacing w:after="120" w:line="240" w:lineRule="auto"/>
        <w:jc w:val="both"/>
        <w:rPr>
          <w:rFonts w:ascii="Arial" w:hAnsi="Arial" w:cs="Arial"/>
          <w:sz w:val="24"/>
          <w:szCs w:val="24"/>
        </w:rPr>
      </w:pPr>
      <w:r w:rsidRPr="00496E1B">
        <w:rPr>
          <w:rFonts w:ascii="Arial" w:hAnsi="Arial" w:cs="Arial"/>
          <w:sz w:val="24"/>
          <w:szCs w:val="24"/>
        </w:rPr>
        <w:t>pravidla výběrového řízení, která tvoří přílohu usnesení k tomuto materiálu, schvaluje vláda,</w:t>
      </w:r>
    </w:p>
    <w:p w:rsidR="007C3665" w:rsidRPr="00496E1B" w:rsidRDefault="007C3665" w:rsidP="007C3665">
      <w:pPr>
        <w:numPr>
          <w:ilvl w:val="0"/>
          <w:numId w:val="3"/>
        </w:numPr>
        <w:spacing w:after="120" w:line="240" w:lineRule="auto"/>
        <w:jc w:val="both"/>
        <w:rPr>
          <w:rFonts w:ascii="Arial" w:hAnsi="Arial" w:cs="Arial"/>
          <w:sz w:val="24"/>
          <w:szCs w:val="24"/>
        </w:rPr>
      </w:pPr>
      <w:r w:rsidRPr="00496E1B">
        <w:rPr>
          <w:rFonts w:ascii="Arial" w:hAnsi="Arial" w:cs="Arial"/>
          <w:sz w:val="24"/>
          <w:szCs w:val="24"/>
        </w:rPr>
        <w:t xml:space="preserve">nejvhodnější kandidáti </w:t>
      </w:r>
      <w:r w:rsidR="00880EFB" w:rsidRPr="00496E1B">
        <w:rPr>
          <w:rFonts w:ascii="Arial" w:hAnsi="Arial" w:cs="Arial"/>
          <w:sz w:val="24"/>
          <w:szCs w:val="24"/>
        </w:rPr>
        <w:t xml:space="preserve">budou </w:t>
      </w:r>
      <w:r w:rsidRPr="00496E1B">
        <w:rPr>
          <w:rFonts w:ascii="Arial" w:hAnsi="Arial" w:cs="Arial"/>
          <w:sz w:val="24"/>
          <w:szCs w:val="24"/>
        </w:rPr>
        <w:t>vybíráni v transparentním výběrovém řízení,</w:t>
      </w:r>
    </w:p>
    <w:p w:rsidR="007C3665" w:rsidRPr="00496E1B" w:rsidRDefault="00880EFB" w:rsidP="007C3665">
      <w:pPr>
        <w:numPr>
          <w:ilvl w:val="0"/>
          <w:numId w:val="3"/>
        </w:numPr>
        <w:spacing w:after="120" w:line="240" w:lineRule="auto"/>
        <w:jc w:val="both"/>
        <w:rPr>
          <w:rFonts w:ascii="Arial" w:hAnsi="Arial" w:cs="Arial"/>
          <w:sz w:val="24"/>
          <w:szCs w:val="24"/>
        </w:rPr>
      </w:pPr>
      <w:r w:rsidRPr="00496E1B">
        <w:rPr>
          <w:rFonts w:ascii="Arial" w:hAnsi="Arial" w:cs="Arial"/>
          <w:sz w:val="24"/>
          <w:szCs w:val="24"/>
        </w:rPr>
        <w:t xml:space="preserve">výběr kandidátů na základě výsledků výběrového řízení </w:t>
      </w:r>
      <w:r w:rsidR="00AF57D3" w:rsidRPr="00496E1B">
        <w:rPr>
          <w:rFonts w:ascii="Arial" w:hAnsi="Arial" w:cs="Arial"/>
          <w:sz w:val="24"/>
          <w:szCs w:val="24"/>
        </w:rPr>
        <w:t xml:space="preserve">prostřednictvím mechanismu obsaženého v Pravidlech </w:t>
      </w:r>
      <w:r w:rsidR="007F4F08" w:rsidRPr="00496E1B">
        <w:rPr>
          <w:rFonts w:ascii="Arial" w:hAnsi="Arial" w:cs="Arial"/>
          <w:sz w:val="24"/>
          <w:szCs w:val="24"/>
        </w:rPr>
        <w:t xml:space="preserve">a </w:t>
      </w:r>
      <w:r w:rsidR="00AF57D3" w:rsidRPr="00496E1B">
        <w:rPr>
          <w:rFonts w:ascii="Arial" w:hAnsi="Arial" w:cs="Arial"/>
          <w:sz w:val="24"/>
          <w:szCs w:val="24"/>
        </w:rPr>
        <w:t xml:space="preserve">následnou </w:t>
      </w:r>
      <w:r w:rsidR="007F4F08" w:rsidRPr="00496E1B">
        <w:rPr>
          <w:rFonts w:ascii="Arial" w:hAnsi="Arial" w:cs="Arial"/>
          <w:sz w:val="24"/>
          <w:szCs w:val="24"/>
        </w:rPr>
        <w:t xml:space="preserve">notifikaci generálnímu sekretariátu Rady </w:t>
      </w:r>
      <w:r w:rsidRPr="00496E1B">
        <w:rPr>
          <w:rFonts w:ascii="Arial" w:hAnsi="Arial" w:cs="Arial"/>
          <w:sz w:val="24"/>
          <w:szCs w:val="24"/>
        </w:rPr>
        <w:t xml:space="preserve">provede </w:t>
      </w:r>
      <w:r w:rsidR="007C3665" w:rsidRPr="00496E1B">
        <w:rPr>
          <w:rFonts w:ascii="Arial" w:hAnsi="Arial" w:cs="Arial"/>
          <w:sz w:val="24"/>
          <w:szCs w:val="24"/>
        </w:rPr>
        <w:t xml:space="preserve">ministr spravedlnosti. </w:t>
      </w:r>
    </w:p>
    <w:p w:rsidR="007C3665" w:rsidRPr="00496E1B" w:rsidRDefault="007C3665" w:rsidP="007C3665">
      <w:pPr>
        <w:spacing w:after="120" w:line="240" w:lineRule="auto"/>
        <w:jc w:val="both"/>
        <w:rPr>
          <w:rFonts w:ascii="Arial" w:hAnsi="Arial" w:cs="Arial"/>
          <w:sz w:val="24"/>
          <w:szCs w:val="24"/>
        </w:rPr>
      </w:pPr>
      <w:r w:rsidRPr="00496E1B">
        <w:rPr>
          <w:rFonts w:ascii="Arial" w:hAnsi="Arial" w:cs="Arial"/>
          <w:sz w:val="24"/>
          <w:szCs w:val="24"/>
        </w:rPr>
        <w:t>Evropský žalobce za Českou republiku bude ustanoven do funkce svým jmenováním Radou</w:t>
      </w:r>
      <w:r w:rsidR="00880EFB" w:rsidRPr="00496E1B">
        <w:rPr>
          <w:rFonts w:ascii="Arial" w:hAnsi="Arial" w:cs="Arial"/>
          <w:sz w:val="24"/>
          <w:szCs w:val="24"/>
        </w:rPr>
        <w:t xml:space="preserve"> na základě doporučení </w:t>
      </w:r>
      <w:r w:rsidR="0019654A">
        <w:rPr>
          <w:rFonts w:ascii="Arial" w:hAnsi="Arial" w:cs="Arial"/>
          <w:sz w:val="24"/>
          <w:szCs w:val="24"/>
        </w:rPr>
        <w:t>výběrové</w:t>
      </w:r>
      <w:r w:rsidR="0019654A" w:rsidRPr="00496E1B">
        <w:rPr>
          <w:rFonts w:ascii="Arial" w:hAnsi="Arial" w:cs="Arial"/>
          <w:sz w:val="24"/>
          <w:szCs w:val="24"/>
        </w:rPr>
        <w:t xml:space="preserve"> </w:t>
      </w:r>
      <w:r w:rsidR="00880EFB" w:rsidRPr="00496E1B">
        <w:rPr>
          <w:rFonts w:ascii="Arial" w:hAnsi="Arial" w:cs="Arial"/>
          <w:sz w:val="24"/>
          <w:szCs w:val="24"/>
        </w:rPr>
        <w:t>komise</w:t>
      </w:r>
      <w:r w:rsidRPr="00496E1B">
        <w:rPr>
          <w:rFonts w:ascii="Arial" w:hAnsi="Arial" w:cs="Arial"/>
          <w:sz w:val="24"/>
          <w:szCs w:val="24"/>
        </w:rPr>
        <w:t>. Domníváme se, že </w:t>
      </w:r>
      <w:r w:rsidR="00880EFB" w:rsidRPr="00496E1B">
        <w:rPr>
          <w:rFonts w:ascii="Arial" w:hAnsi="Arial" w:cs="Arial"/>
          <w:sz w:val="24"/>
          <w:szCs w:val="24"/>
        </w:rPr>
        <w:t xml:space="preserve">navrhovaný </w:t>
      </w:r>
      <w:r w:rsidRPr="00496E1B">
        <w:rPr>
          <w:rFonts w:ascii="Arial" w:hAnsi="Arial" w:cs="Arial"/>
          <w:sz w:val="24"/>
          <w:szCs w:val="24"/>
        </w:rPr>
        <w:t>postup zajistí, aby byl evropský žalobce co nejvíce nezávislý, a umožní účast co možná nejvyššího počtu uchazečů.</w:t>
      </w:r>
    </w:p>
    <w:p w:rsidR="007C3665" w:rsidRPr="00496E1B" w:rsidRDefault="007C3665" w:rsidP="007C3665">
      <w:pPr>
        <w:spacing w:after="120" w:line="240" w:lineRule="auto"/>
        <w:jc w:val="both"/>
        <w:rPr>
          <w:rFonts w:ascii="Arial" w:hAnsi="Arial" w:cs="Arial"/>
          <w:sz w:val="24"/>
          <w:szCs w:val="24"/>
        </w:rPr>
      </w:pPr>
    </w:p>
    <w:p w:rsidR="007C3665" w:rsidRPr="00496E1B" w:rsidRDefault="007C3665" w:rsidP="007C3665">
      <w:pPr>
        <w:spacing w:after="120" w:line="240" w:lineRule="auto"/>
        <w:jc w:val="both"/>
        <w:rPr>
          <w:rFonts w:ascii="Arial" w:hAnsi="Arial" w:cs="Arial"/>
          <w:b/>
          <w:sz w:val="28"/>
          <w:szCs w:val="28"/>
        </w:rPr>
      </w:pPr>
      <w:r w:rsidRPr="00496E1B">
        <w:rPr>
          <w:rFonts w:ascii="Arial" w:hAnsi="Arial" w:cs="Arial"/>
          <w:b/>
          <w:sz w:val="28"/>
          <w:szCs w:val="28"/>
        </w:rPr>
        <w:t>Evropský pověřený žalobce</w:t>
      </w:r>
    </w:p>
    <w:p w:rsidR="007C3665" w:rsidRPr="00496E1B" w:rsidRDefault="007C3665" w:rsidP="007C3665">
      <w:pPr>
        <w:spacing w:after="120" w:line="240" w:lineRule="auto"/>
        <w:jc w:val="both"/>
        <w:rPr>
          <w:rFonts w:ascii="Arial" w:hAnsi="Arial" w:cs="Arial"/>
          <w:sz w:val="24"/>
          <w:szCs w:val="24"/>
        </w:rPr>
      </w:pPr>
      <w:r w:rsidRPr="00496E1B">
        <w:rPr>
          <w:rFonts w:ascii="Arial" w:hAnsi="Arial" w:cs="Arial"/>
          <w:sz w:val="24"/>
          <w:szCs w:val="24"/>
        </w:rPr>
        <w:t>Evropští pověření žalobci reprezentují decentralizovanou úroveň Úřadu v jednotlivých členských státech. Jejich přesný počet není v současné době znám (v každém členském státě však budou minimálně dva evropští pověření žalobci), tento počet bude určen evropským nejvyšším žalobcem po konzultaci a dosažení dohody s příslušnými orgány členských států, kterými jsou pro Českou republiku Ministerstvo spravedlnosti a Nejvyšší státní zastupitelství. Stejným způsobem bude určeno taktéž rozdělení věcné a územní příslušnosti mezi jednotlivé evropské pověřené žalobce uvnitř každého členského státu.</w:t>
      </w:r>
    </w:p>
    <w:p w:rsidR="007C3665" w:rsidRPr="00496E1B" w:rsidRDefault="007C3665" w:rsidP="007C3665">
      <w:pPr>
        <w:spacing w:after="120" w:line="240" w:lineRule="auto"/>
        <w:jc w:val="both"/>
        <w:rPr>
          <w:rFonts w:ascii="Arial" w:hAnsi="Arial" w:cs="Arial"/>
          <w:sz w:val="24"/>
          <w:szCs w:val="24"/>
        </w:rPr>
      </w:pPr>
      <w:r w:rsidRPr="00496E1B">
        <w:rPr>
          <w:rFonts w:ascii="Arial" w:hAnsi="Arial" w:cs="Arial"/>
          <w:sz w:val="24"/>
          <w:szCs w:val="24"/>
        </w:rPr>
        <w:t xml:space="preserve">Úkolem evropských pověřených žalobců bude vést vyšetřování a trestní stíhání v souladu s pokyny příslušné stálé komory a </w:t>
      </w:r>
      <w:r w:rsidR="001F7245">
        <w:rPr>
          <w:rFonts w:ascii="Arial" w:hAnsi="Arial" w:cs="Arial"/>
          <w:sz w:val="24"/>
          <w:szCs w:val="24"/>
        </w:rPr>
        <w:t xml:space="preserve">dohlížejícího </w:t>
      </w:r>
      <w:r w:rsidRPr="00496E1B">
        <w:rPr>
          <w:rFonts w:ascii="Arial" w:hAnsi="Arial" w:cs="Arial"/>
          <w:sz w:val="24"/>
          <w:szCs w:val="24"/>
        </w:rPr>
        <w:t>evropského žalobce. V souladu s nařízením EPPO by k tomu měli mít k dispozici stejné prostředky jako vnitrostátní státní zástupci a rovněž další pravomoci, která jim stanoví nařízení EPPO.</w:t>
      </w:r>
    </w:p>
    <w:p w:rsidR="007C3665" w:rsidRPr="00496E1B" w:rsidRDefault="007C3665" w:rsidP="007C3665">
      <w:pPr>
        <w:spacing w:after="120" w:line="240" w:lineRule="auto"/>
        <w:jc w:val="both"/>
        <w:rPr>
          <w:rFonts w:ascii="Arial" w:hAnsi="Arial" w:cs="Arial"/>
          <w:sz w:val="24"/>
          <w:szCs w:val="24"/>
        </w:rPr>
      </w:pPr>
      <w:r w:rsidRPr="00496E1B">
        <w:rPr>
          <w:rFonts w:ascii="Arial" w:hAnsi="Arial" w:cs="Arial"/>
          <w:sz w:val="24"/>
          <w:szCs w:val="24"/>
        </w:rPr>
        <w:t>Evropští pověření žalobci budou zaměstnáni jako zvláštní poradci podle čl. 5 Pracovního řádu ostatních zaměstnanců Evropské unie</w:t>
      </w:r>
      <w:r w:rsidRPr="00496E1B">
        <w:rPr>
          <w:rFonts w:ascii="Arial" w:hAnsi="Arial" w:cs="Arial"/>
          <w:sz w:val="24"/>
          <w:szCs w:val="24"/>
          <w:vertAlign w:val="superscript"/>
        </w:rPr>
        <w:footnoteReference w:id="4"/>
      </w:r>
      <w:r w:rsidRPr="00496E1B">
        <w:rPr>
          <w:rFonts w:ascii="Arial" w:hAnsi="Arial" w:cs="Arial"/>
          <w:sz w:val="24"/>
          <w:szCs w:val="24"/>
        </w:rPr>
        <w:t xml:space="preserve"> a jejich plat bude hrazen z rozpočtu Úřadu.</w:t>
      </w:r>
    </w:p>
    <w:p w:rsidR="007C3665" w:rsidRPr="00496E1B" w:rsidRDefault="007C3665" w:rsidP="007C3665">
      <w:pPr>
        <w:numPr>
          <w:ilvl w:val="0"/>
          <w:numId w:val="4"/>
        </w:numPr>
        <w:spacing w:after="120" w:line="240" w:lineRule="auto"/>
        <w:ind w:left="284" w:hanging="284"/>
        <w:jc w:val="both"/>
        <w:rPr>
          <w:rFonts w:ascii="Arial" w:hAnsi="Arial" w:cs="Arial"/>
          <w:b/>
          <w:sz w:val="24"/>
          <w:szCs w:val="24"/>
        </w:rPr>
      </w:pPr>
      <w:r w:rsidRPr="00496E1B">
        <w:rPr>
          <w:rFonts w:ascii="Arial" w:hAnsi="Arial" w:cs="Arial"/>
          <w:b/>
          <w:sz w:val="24"/>
          <w:szCs w:val="24"/>
        </w:rPr>
        <w:t>požadavky pro výkon funkce</w:t>
      </w:r>
    </w:p>
    <w:p w:rsidR="007C3665" w:rsidRPr="00496E1B" w:rsidRDefault="007C3665" w:rsidP="007C3665">
      <w:pPr>
        <w:spacing w:after="120" w:line="240" w:lineRule="auto"/>
        <w:jc w:val="both"/>
        <w:rPr>
          <w:rFonts w:ascii="Arial" w:hAnsi="Arial" w:cs="Arial"/>
          <w:sz w:val="24"/>
          <w:szCs w:val="24"/>
        </w:rPr>
      </w:pPr>
      <w:r w:rsidRPr="00496E1B">
        <w:rPr>
          <w:rFonts w:ascii="Arial" w:hAnsi="Arial" w:cs="Arial"/>
          <w:sz w:val="24"/>
          <w:szCs w:val="24"/>
        </w:rPr>
        <w:t xml:space="preserve">Evropští pověření žalobci jsou jmenováni kolegiem na návrh nejvyššího evropského žalobce, a to na funkční období 5 let, které je obnovitelné. V souladu s čl. 17 odst. 2 </w:t>
      </w:r>
      <w:r w:rsidRPr="00496E1B">
        <w:rPr>
          <w:rFonts w:ascii="Arial" w:hAnsi="Arial" w:cs="Arial"/>
          <w:sz w:val="24"/>
          <w:szCs w:val="24"/>
        </w:rPr>
        <w:lastRenderedPageBreak/>
        <w:t>nařízení EPPO musí evropští pověření žalobci poskytovat veškeré záruky nezávislosti a mít potřebnou kvalifikaci a relevantní praktické zkušenosti s vnitrostátním právním systémem. Zároveň musí být od okamžiku jmenování do funkce evropských pověřených žalobců až do svého odvolání aktivními členy státních zastupitelství nebo soudních orgánů v příslušných členských státech, jimiž byli do funkce navrženi. Nesplňuje-li evropský pověřený žalobce tyto požadavky, kolegium jej z funkce odvolá.</w:t>
      </w:r>
    </w:p>
    <w:p w:rsidR="007C3665" w:rsidRPr="00496E1B" w:rsidRDefault="007C3665" w:rsidP="007C3665">
      <w:pPr>
        <w:numPr>
          <w:ilvl w:val="0"/>
          <w:numId w:val="4"/>
        </w:numPr>
        <w:spacing w:after="120" w:line="240" w:lineRule="auto"/>
        <w:ind w:left="284" w:hanging="284"/>
        <w:jc w:val="both"/>
        <w:rPr>
          <w:rFonts w:ascii="Arial" w:hAnsi="Arial" w:cs="Arial"/>
          <w:b/>
          <w:sz w:val="24"/>
          <w:szCs w:val="24"/>
        </w:rPr>
      </w:pPr>
      <w:r w:rsidRPr="00496E1B">
        <w:rPr>
          <w:rFonts w:ascii="Arial" w:hAnsi="Arial" w:cs="Arial"/>
          <w:b/>
          <w:sz w:val="24"/>
          <w:szCs w:val="24"/>
        </w:rPr>
        <w:t xml:space="preserve">návrh způsobu výběru kandidáta na evropského pověřeného žalobce  </w:t>
      </w:r>
    </w:p>
    <w:p w:rsidR="007C3665" w:rsidRPr="00496E1B" w:rsidRDefault="007C3665" w:rsidP="007C3665">
      <w:pPr>
        <w:spacing w:after="120" w:line="240" w:lineRule="auto"/>
        <w:jc w:val="both"/>
        <w:rPr>
          <w:rFonts w:ascii="Arial" w:hAnsi="Arial" w:cs="Arial"/>
          <w:sz w:val="24"/>
          <w:szCs w:val="24"/>
        </w:rPr>
      </w:pPr>
      <w:r w:rsidRPr="00496E1B">
        <w:rPr>
          <w:rFonts w:ascii="Arial" w:hAnsi="Arial" w:cs="Arial"/>
          <w:sz w:val="24"/>
          <w:szCs w:val="24"/>
        </w:rPr>
        <w:t xml:space="preserve">Nominace osob do funkcí evropských pověřených žalobců je v kompetenci jednotlivých členských států. Vzhledem k tomu, že uchazeči o funkci evropských pověřených žalobců budou muset kromě požadavků stanovených nařízením splňovat i požadavky na nadstandardní jazykovou vybavenost, a budou muset akceptovat poměrně odlišný styl práce, </w:t>
      </w:r>
      <w:r w:rsidR="00B263CB">
        <w:rPr>
          <w:rFonts w:ascii="Arial" w:hAnsi="Arial" w:cs="Arial"/>
          <w:sz w:val="24"/>
          <w:szCs w:val="24"/>
        </w:rPr>
        <w:t xml:space="preserve">může být </w:t>
      </w:r>
      <w:r w:rsidRPr="00496E1B">
        <w:rPr>
          <w:rFonts w:ascii="Arial" w:hAnsi="Arial" w:cs="Arial"/>
          <w:sz w:val="24"/>
          <w:szCs w:val="24"/>
        </w:rPr>
        <w:t xml:space="preserve">okruh uchazečů o funkci evropských pověřených žalobců </w:t>
      </w:r>
      <w:r w:rsidR="00B263CB">
        <w:rPr>
          <w:rFonts w:ascii="Arial" w:hAnsi="Arial" w:cs="Arial"/>
          <w:sz w:val="24"/>
          <w:szCs w:val="24"/>
        </w:rPr>
        <w:t xml:space="preserve">zřejmě </w:t>
      </w:r>
      <w:r w:rsidRPr="00496E1B">
        <w:rPr>
          <w:rFonts w:ascii="Arial" w:hAnsi="Arial" w:cs="Arial"/>
          <w:sz w:val="24"/>
          <w:szCs w:val="24"/>
        </w:rPr>
        <w:t xml:space="preserve">poměrně úzký. Považujeme proto za nejvhodnější, aby vlastní výběr kandidátů byl ponechán na Nejvyšším státním zástupci, </w:t>
      </w:r>
      <w:r w:rsidR="00B263CB" w:rsidRPr="00B263CB">
        <w:rPr>
          <w:rFonts w:ascii="Arial" w:hAnsi="Arial" w:cs="Arial"/>
          <w:sz w:val="24"/>
          <w:szCs w:val="24"/>
        </w:rPr>
        <w:t>a to na základě transparentního výběrového řízení</w:t>
      </w:r>
      <w:r w:rsidR="00B263CB">
        <w:rPr>
          <w:rFonts w:ascii="Arial" w:hAnsi="Arial" w:cs="Arial"/>
          <w:sz w:val="24"/>
          <w:szCs w:val="24"/>
        </w:rPr>
        <w:t>,</w:t>
      </w:r>
      <w:r w:rsidR="00B263CB" w:rsidRPr="00B263CB">
        <w:rPr>
          <w:rFonts w:ascii="Arial" w:hAnsi="Arial" w:cs="Arial"/>
          <w:sz w:val="24"/>
          <w:szCs w:val="24"/>
        </w:rPr>
        <w:t xml:space="preserve"> </w:t>
      </w:r>
      <w:r w:rsidRPr="00496E1B">
        <w:rPr>
          <w:rFonts w:ascii="Arial" w:hAnsi="Arial" w:cs="Arial"/>
          <w:sz w:val="24"/>
          <w:szCs w:val="24"/>
        </w:rPr>
        <w:t xml:space="preserve">který navrhne vybrané kandidáty ministru spravedlnosti k nominaci. Vybraní kandidáti se pak stanou evropskými pověřenými žalobci svým jmenováním kolegiem, nebude již třeba jejich následné formální jmenování ze strany ministra spravedlnosti, jak je tomu u národního člena </w:t>
      </w:r>
      <w:proofErr w:type="spellStart"/>
      <w:r w:rsidRPr="00496E1B">
        <w:rPr>
          <w:rFonts w:ascii="Arial" w:hAnsi="Arial" w:cs="Arial"/>
          <w:sz w:val="24"/>
          <w:szCs w:val="24"/>
        </w:rPr>
        <w:t>Eurojustu</w:t>
      </w:r>
      <w:proofErr w:type="spellEnd"/>
      <w:r w:rsidRPr="00496E1B">
        <w:rPr>
          <w:rFonts w:ascii="Arial" w:hAnsi="Arial" w:cs="Arial"/>
          <w:sz w:val="24"/>
          <w:szCs w:val="24"/>
        </w:rPr>
        <w:t xml:space="preserve">. </w:t>
      </w:r>
      <w:r w:rsidR="007F4F08" w:rsidRPr="00496E1B">
        <w:rPr>
          <w:rFonts w:ascii="Arial" w:hAnsi="Arial" w:cs="Arial"/>
          <w:sz w:val="24"/>
          <w:szCs w:val="24"/>
        </w:rPr>
        <w:t xml:space="preserve">Notifikaci </w:t>
      </w:r>
      <w:r w:rsidRPr="00496E1B">
        <w:rPr>
          <w:rFonts w:ascii="Arial" w:hAnsi="Arial" w:cs="Arial"/>
          <w:sz w:val="24"/>
          <w:szCs w:val="24"/>
        </w:rPr>
        <w:t xml:space="preserve">vybraných kandidátů </w:t>
      </w:r>
      <w:r w:rsidR="007F4F08" w:rsidRPr="00496E1B">
        <w:rPr>
          <w:rFonts w:ascii="Arial" w:hAnsi="Arial" w:cs="Arial"/>
          <w:sz w:val="24"/>
          <w:szCs w:val="24"/>
        </w:rPr>
        <w:t xml:space="preserve">generálnímu sekretariátu Rady </w:t>
      </w:r>
      <w:r w:rsidRPr="00496E1B">
        <w:rPr>
          <w:rFonts w:ascii="Arial" w:hAnsi="Arial" w:cs="Arial"/>
          <w:sz w:val="24"/>
          <w:szCs w:val="24"/>
        </w:rPr>
        <w:t>zajistí ministr spravedlnosti.</w:t>
      </w:r>
    </w:p>
    <w:p w:rsidR="007C3665" w:rsidRPr="00496E1B" w:rsidRDefault="007C3665" w:rsidP="007C3665">
      <w:pPr>
        <w:spacing w:after="120" w:line="240" w:lineRule="auto"/>
        <w:jc w:val="both"/>
        <w:rPr>
          <w:rFonts w:ascii="Arial" w:hAnsi="Arial" w:cs="Arial"/>
          <w:sz w:val="24"/>
          <w:szCs w:val="24"/>
        </w:rPr>
      </w:pPr>
    </w:p>
    <w:p w:rsidR="007C3665" w:rsidRPr="00496E1B" w:rsidRDefault="007C3665" w:rsidP="007C3665">
      <w:pPr>
        <w:spacing w:after="120" w:line="240" w:lineRule="auto"/>
        <w:jc w:val="both"/>
        <w:rPr>
          <w:rFonts w:ascii="Arial" w:hAnsi="Arial" w:cs="Arial"/>
          <w:b/>
          <w:sz w:val="28"/>
          <w:szCs w:val="28"/>
        </w:rPr>
      </w:pPr>
      <w:r w:rsidRPr="00496E1B">
        <w:rPr>
          <w:rFonts w:ascii="Arial" w:hAnsi="Arial" w:cs="Arial"/>
          <w:b/>
          <w:sz w:val="28"/>
          <w:szCs w:val="28"/>
        </w:rPr>
        <w:t>Závěr</w:t>
      </w:r>
    </w:p>
    <w:p w:rsidR="007C3665" w:rsidRPr="00496E1B" w:rsidRDefault="007C3665" w:rsidP="007C3665">
      <w:pPr>
        <w:spacing w:after="120" w:line="240" w:lineRule="auto"/>
        <w:jc w:val="both"/>
        <w:rPr>
          <w:rFonts w:ascii="Arial" w:hAnsi="Arial" w:cs="Arial"/>
          <w:sz w:val="24"/>
          <w:szCs w:val="24"/>
        </w:rPr>
      </w:pPr>
      <w:r w:rsidRPr="00496E1B">
        <w:rPr>
          <w:rFonts w:ascii="Arial" w:hAnsi="Arial" w:cs="Arial"/>
          <w:sz w:val="24"/>
          <w:szCs w:val="24"/>
        </w:rPr>
        <w:t xml:space="preserve">V tomto materiálu se navrhují způsoby vnitrostátního výběru vhodných kandidátů na funkci evropského žalobce a evropského pověřeného žalobce. Pro výběr tří kandidátů na funkci evropského žalobce považujeme za nejvhodnější provedení výběrového řízení, kdy výběrová kritéria, složení výběrové komise a postup při výběrovém řízení budou stanovena Pravidly pro výběr kandidátů na funkci evropského žalobce Úřadu evropského veřejného žalobce, která schválí vláda. </w:t>
      </w:r>
      <w:r w:rsidR="004E4A37" w:rsidRPr="00496E1B">
        <w:rPr>
          <w:rFonts w:ascii="Arial" w:hAnsi="Arial" w:cs="Arial"/>
          <w:sz w:val="24"/>
          <w:szCs w:val="24"/>
        </w:rPr>
        <w:t xml:space="preserve">Výběr kandidátů na základě výsledků výběrového řízení a následnou notifikaci generálnímu sekretariátu Rady provede ministr spravedlnosti. </w:t>
      </w:r>
      <w:r w:rsidRPr="00496E1B">
        <w:rPr>
          <w:rFonts w:ascii="Arial" w:hAnsi="Arial" w:cs="Arial"/>
          <w:sz w:val="24"/>
          <w:szCs w:val="24"/>
        </w:rPr>
        <w:t>V případě výběru evropských pověřených žalobců navrhujeme, aby tito byli vybráni Nejvyšším státním zástupcem</w:t>
      </w:r>
      <w:r w:rsidR="00B263CB">
        <w:rPr>
          <w:rFonts w:ascii="Arial" w:hAnsi="Arial" w:cs="Arial"/>
          <w:sz w:val="24"/>
          <w:szCs w:val="24"/>
        </w:rPr>
        <w:t xml:space="preserve">, </w:t>
      </w:r>
      <w:r w:rsidR="00B263CB" w:rsidRPr="00B263CB">
        <w:rPr>
          <w:rFonts w:ascii="Arial" w:hAnsi="Arial" w:cs="Arial"/>
          <w:sz w:val="24"/>
          <w:szCs w:val="24"/>
        </w:rPr>
        <w:t>a to na základě transparentního výběrového řízení</w:t>
      </w:r>
      <w:r w:rsidRPr="00496E1B">
        <w:rPr>
          <w:rFonts w:ascii="Arial" w:hAnsi="Arial" w:cs="Arial"/>
          <w:sz w:val="24"/>
          <w:szCs w:val="24"/>
        </w:rPr>
        <w:t>.</w:t>
      </w:r>
    </w:p>
    <w:p w:rsidR="007C3665" w:rsidRPr="00496E1B" w:rsidRDefault="007C3665" w:rsidP="007C3665">
      <w:pPr>
        <w:spacing w:after="120" w:line="240" w:lineRule="auto"/>
        <w:rPr>
          <w:rFonts w:ascii="Arial" w:hAnsi="Arial" w:cs="Arial"/>
        </w:rPr>
      </w:pPr>
    </w:p>
    <w:p w:rsidR="00174218" w:rsidRPr="00496E1B" w:rsidRDefault="00174218" w:rsidP="007C3665">
      <w:pPr>
        <w:rPr>
          <w:rFonts w:ascii="Arial" w:hAnsi="Arial" w:cs="Arial"/>
        </w:rPr>
      </w:pPr>
    </w:p>
    <w:sectPr w:rsidR="00174218" w:rsidRPr="00496E1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E25" w:rsidRDefault="00DB3E25" w:rsidP="00A621C8">
      <w:pPr>
        <w:spacing w:after="0" w:line="240" w:lineRule="auto"/>
      </w:pPr>
      <w:r>
        <w:separator/>
      </w:r>
    </w:p>
  </w:endnote>
  <w:endnote w:type="continuationSeparator" w:id="0">
    <w:p w:rsidR="00DB3E25" w:rsidRDefault="00DB3E25" w:rsidP="00A6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379" w:rsidRDefault="00773379">
    <w:pPr>
      <w:pStyle w:val="Zpat"/>
      <w:jc w:val="center"/>
    </w:pPr>
    <w:r>
      <w:fldChar w:fldCharType="begin"/>
    </w:r>
    <w:r>
      <w:instrText>PAGE   \* MERGEFORMAT</w:instrText>
    </w:r>
    <w:r>
      <w:fldChar w:fldCharType="separate"/>
    </w:r>
    <w:r w:rsidR="00A2560B">
      <w:rPr>
        <w:noProof/>
      </w:rPr>
      <w:t>1</w:t>
    </w:r>
    <w:r>
      <w:fldChar w:fldCharType="end"/>
    </w:r>
  </w:p>
  <w:p w:rsidR="00773379" w:rsidRDefault="007733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E25" w:rsidRDefault="00DB3E25" w:rsidP="00A621C8">
      <w:pPr>
        <w:spacing w:after="0" w:line="240" w:lineRule="auto"/>
      </w:pPr>
      <w:r>
        <w:separator/>
      </w:r>
    </w:p>
  </w:footnote>
  <w:footnote w:type="continuationSeparator" w:id="0">
    <w:p w:rsidR="00DB3E25" w:rsidRDefault="00DB3E25" w:rsidP="00A621C8">
      <w:pPr>
        <w:spacing w:after="0" w:line="240" w:lineRule="auto"/>
      </w:pPr>
      <w:r>
        <w:continuationSeparator/>
      </w:r>
    </w:p>
  </w:footnote>
  <w:footnote w:id="1">
    <w:p w:rsidR="007C3665" w:rsidRPr="00496E1B" w:rsidRDefault="007C3665" w:rsidP="007C3665">
      <w:pPr>
        <w:pStyle w:val="Textpoznpodarou"/>
        <w:spacing w:line="240" w:lineRule="auto"/>
        <w:jc w:val="both"/>
        <w:rPr>
          <w:rFonts w:ascii="Arial" w:hAnsi="Arial" w:cs="Arial"/>
        </w:rPr>
      </w:pPr>
      <w:r w:rsidRPr="00496E1B">
        <w:rPr>
          <w:rStyle w:val="Znakapoznpodarou"/>
          <w:rFonts w:ascii="Arial" w:hAnsi="Arial" w:cs="Arial"/>
        </w:rPr>
        <w:footnoteRef/>
      </w:r>
      <w:r w:rsidRPr="00496E1B">
        <w:rPr>
          <w:rFonts w:ascii="Arial" w:hAnsi="Arial" w:cs="Arial"/>
        </w:rPr>
        <w:t xml:space="preserve"> V České republice je z povahy funkce evropského žalobce i evropského pověřeného žalobce zřejmé, že půjde pouze o státní zástupce, možnost členství v soudních orgánech míří na členské státy, jež mají ve svých národních právních řádech zakotven institut vyšetřujícího soudce.</w:t>
      </w:r>
    </w:p>
  </w:footnote>
  <w:footnote w:id="2">
    <w:p w:rsidR="007C3665" w:rsidRPr="00496E1B" w:rsidRDefault="007C3665" w:rsidP="007C3665">
      <w:pPr>
        <w:pStyle w:val="Textpoznpodarou"/>
        <w:spacing w:after="0" w:line="240" w:lineRule="auto"/>
        <w:rPr>
          <w:rFonts w:ascii="Arial" w:hAnsi="Arial" w:cs="Arial"/>
        </w:rPr>
      </w:pPr>
      <w:r w:rsidRPr="00496E1B">
        <w:rPr>
          <w:rStyle w:val="Znakapoznpodarou"/>
          <w:rFonts w:ascii="Arial" w:hAnsi="Arial" w:cs="Arial"/>
        </w:rPr>
        <w:footnoteRef/>
      </w:r>
      <w:r w:rsidRPr="00496E1B">
        <w:rPr>
          <w:rFonts w:ascii="Arial" w:hAnsi="Arial" w:cs="Arial"/>
        </w:rPr>
        <w:t xml:space="preserve"> Pro účely tohoto pracovního řádu se „dočasnými zaměstnanci“ rozumí:</w:t>
      </w:r>
    </w:p>
    <w:p w:rsidR="007C3665" w:rsidRPr="00496E1B" w:rsidRDefault="007C3665" w:rsidP="007C3665">
      <w:pPr>
        <w:pStyle w:val="Textpoznpodarou"/>
        <w:spacing w:after="0" w:line="240" w:lineRule="auto"/>
        <w:jc w:val="both"/>
        <w:rPr>
          <w:rFonts w:ascii="Arial" w:hAnsi="Arial" w:cs="Arial"/>
        </w:rPr>
      </w:pPr>
      <w:r w:rsidRPr="00496E1B">
        <w:rPr>
          <w:rFonts w:ascii="Arial" w:hAnsi="Arial" w:cs="Arial"/>
        </w:rPr>
        <w:t>a) zaměstnanci přijatí za účelem obsazení pracovních míst, která jsou uvedena na seznamu pracovních míst přiloženému k oddílu rozpočtu každého orgánu a která rozpočtový orgán označil za dočasná.</w:t>
      </w:r>
    </w:p>
  </w:footnote>
  <w:footnote w:id="3">
    <w:p w:rsidR="007C3665" w:rsidRPr="00496E1B" w:rsidRDefault="007C3665" w:rsidP="007C3665">
      <w:pPr>
        <w:pStyle w:val="Textpoznpodarou"/>
        <w:spacing w:line="240" w:lineRule="auto"/>
        <w:jc w:val="both"/>
        <w:rPr>
          <w:rFonts w:ascii="Arial" w:hAnsi="Arial" w:cs="Arial"/>
        </w:rPr>
      </w:pPr>
      <w:r w:rsidRPr="00496E1B">
        <w:rPr>
          <w:rStyle w:val="Znakapoznpodarou"/>
          <w:rFonts w:ascii="Arial" w:hAnsi="Arial" w:cs="Arial"/>
        </w:rPr>
        <w:footnoteRef/>
      </w:r>
      <w:r w:rsidRPr="00496E1B">
        <w:rPr>
          <w:rFonts w:ascii="Arial" w:hAnsi="Arial" w:cs="Arial"/>
        </w:rPr>
        <w:t xml:space="preserve"> Nařízení (EHS) č. 31, (ESAE) č. 11, kterým se stanoví služební řád úředníků a pracovní řád ostatních zaměstnanců Evropského hospodářského společenství a Evropského společenství pro atomovou energii (Úřední věstník 45, 14. 6. 1962, s. 1385/62)</w:t>
      </w:r>
    </w:p>
  </w:footnote>
  <w:footnote w:id="4">
    <w:p w:rsidR="007C3665" w:rsidRPr="00496E1B" w:rsidRDefault="007C3665" w:rsidP="007C3665">
      <w:pPr>
        <w:pStyle w:val="Textpoznpodarou"/>
        <w:spacing w:after="0" w:line="240" w:lineRule="auto"/>
        <w:jc w:val="both"/>
        <w:rPr>
          <w:rFonts w:ascii="Arial" w:hAnsi="Arial" w:cs="Arial"/>
        </w:rPr>
      </w:pPr>
      <w:r w:rsidRPr="00496E1B">
        <w:rPr>
          <w:rStyle w:val="Znakapoznpodarou"/>
          <w:rFonts w:ascii="Arial" w:hAnsi="Arial" w:cs="Arial"/>
        </w:rPr>
        <w:footnoteRef/>
      </w:r>
      <w:r w:rsidRPr="00496E1B">
        <w:rPr>
          <w:rFonts w:ascii="Arial" w:hAnsi="Arial" w:cs="Arial"/>
        </w:rPr>
        <w:t xml:space="preserve"> Pro účely tohoto pracovního řádu se „zvláštním poradcem“ rozumí osoba, která je přijata pro svoji zvláštní kvalifikaci a bez ohledu na její jinou výdělečnou činnost, aby poskytovala svoji pomoc jednomu z orgánů Společenství buď pravidelně, nebo po stanovenou dobu, a která je odměňována z částky vyhrazené za tímto účelem v oddíle rozpočtu orgánu, pro který pracuje.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2067C"/>
    <w:multiLevelType w:val="hybridMultilevel"/>
    <w:tmpl w:val="C1CC3D5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6E1C5D"/>
    <w:multiLevelType w:val="hybridMultilevel"/>
    <w:tmpl w:val="C1CC3D5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52F7D59"/>
    <w:multiLevelType w:val="hybridMultilevel"/>
    <w:tmpl w:val="F274136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8373575"/>
    <w:multiLevelType w:val="hybridMultilevel"/>
    <w:tmpl w:val="C9CC55B8"/>
    <w:lvl w:ilvl="0" w:tplc="E81ABDDA">
      <w:start w:val="1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C8"/>
    <w:rsid w:val="000319B7"/>
    <w:rsid w:val="00076D3A"/>
    <w:rsid w:val="000D1FC1"/>
    <w:rsid w:val="000F1EBC"/>
    <w:rsid w:val="001173DE"/>
    <w:rsid w:val="00151F1D"/>
    <w:rsid w:val="00165639"/>
    <w:rsid w:val="00174218"/>
    <w:rsid w:val="0017559E"/>
    <w:rsid w:val="0019654A"/>
    <w:rsid w:val="001A026B"/>
    <w:rsid w:val="001A226A"/>
    <w:rsid w:val="001E506D"/>
    <w:rsid w:val="001F390A"/>
    <w:rsid w:val="001F7245"/>
    <w:rsid w:val="001F7745"/>
    <w:rsid w:val="0027001A"/>
    <w:rsid w:val="00282689"/>
    <w:rsid w:val="002834D0"/>
    <w:rsid w:val="002C3897"/>
    <w:rsid w:val="002E3E62"/>
    <w:rsid w:val="002E4936"/>
    <w:rsid w:val="002F5785"/>
    <w:rsid w:val="003453C0"/>
    <w:rsid w:val="00357065"/>
    <w:rsid w:val="00362EBB"/>
    <w:rsid w:val="00370867"/>
    <w:rsid w:val="003745A8"/>
    <w:rsid w:val="0038318C"/>
    <w:rsid w:val="003B7F61"/>
    <w:rsid w:val="00435173"/>
    <w:rsid w:val="00466B37"/>
    <w:rsid w:val="00496E1B"/>
    <w:rsid w:val="004B2CEB"/>
    <w:rsid w:val="004E4A37"/>
    <w:rsid w:val="00522E51"/>
    <w:rsid w:val="00537E84"/>
    <w:rsid w:val="005410B8"/>
    <w:rsid w:val="005B589A"/>
    <w:rsid w:val="005F729A"/>
    <w:rsid w:val="005F7374"/>
    <w:rsid w:val="006117EC"/>
    <w:rsid w:val="006242C4"/>
    <w:rsid w:val="00634F9A"/>
    <w:rsid w:val="00675B70"/>
    <w:rsid w:val="00716F8A"/>
    <w:rsid w:val="007638DF"/>
    <w:rsid w:val="00773379"/>
    <w:rsid w:val="007C3665"/>
    <w:rsid w:val="007C51F2"/>
    <w:rsid w:val="007F4F08"/>
    <w:rsid w:val="00826BFF"/>
    <w:rsid w:val="00880EFB"/>
    <w:rsid w:val="008C45DC"/>
    <w:rsid w:val="008D62A0"/>
    <w:rsid w:val="00910648"/>
    <w:rsid w:val="009348E5"/>
    <w:rsid w:val="0099794F"/>
    <w:rsid w:val="009A1B01"/>
    <w:rsid w:val="00A2560B"/>
    <w:rsid w:val="00A621C8"/>
    <w:rsid w:val="00AC1BC0"/>
    <w:rsid w:val="00AF57D3"/>
    <w:rsid w:val="00B2474D"/>
    <w:rsid w:val="00B263CB"/>
    <w:rsid w:val="00B81010"/>
    <w:rsid w:val="00B94F80"/>
    <w:rsid w:val="00BF7D1E"/>
    <w:rsid w:val="00C142C9"/>
    <w:rsid w:val="00C405E7"/>
    <w:rsid w:val="00C57E5B"/>
    <w:rsid w:val="00C64A07"/>
    <w:rsid w:val="00C82EAC"/>
    <w:rsid w:val="00CE7B31"/>
    <w:rsid w:val="00DA37AA"/>
    <w:rsid w:val="00DB3E25"/>
    <w:rsid w:val="00DC335A"/>
    <w:rsid w:val="00DD78C2"/>
    <w:rsid w:val="00E00413"/>
    <w:rsid w:val="00E07A94"/>
    <w:rsid w:val="00E22708"/>
    <w:rsid w:val="00EA33C5"/>
    <w:rsid w:val="00EF7BF2"/>
    <w:rsid w:val="00F02CF9"/>
    <w:rsid w:val="00F17484"/>
    <w:rsid w:val="00F40C1B"/>
    <w:rsid w:val="00F43B3D"/>
    <w:rsid w:val="00F971C3"/>
    <w:rsid w:val="00FD5F63"/>
    <w:rsid w:val="00FE403A"/>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076D9DD-FDA2-4D8C-B3C4-9B5BF112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A621C8"/>
    <w:pPr>
      <w:tabs>
        <w:tab w:val="center" w:pos="4536"/>
        <w:tab w:val="right" w:pos="9072"/>
      </w:tabs>
    </w:pPr>
  </w:style>
  <w:style w:type="character" w:customStyle="1" w:styleId="ZpatChar">
    <w:name w:val="Zápatí Char"/>
    <w:link w:val="Zpat"/>
    <w:uiPriority w:val="99"/>
    <w:rsid w:val="00A621C8"/>
    <w:rPr>
      <w:sz w:val="22"/>
      <w:szCs w:val="22"/>
      <w:lang w:eastAsia="en-US"/>
    </w:rPr>
  </w:style>
  <w:style w:type="paragraph" w:styleId="Textpoznpodarou">
    <w:name w:val="footnote text"/>
    <w:basedOn w:val="Normln"/>
    <w:link w:val="TextpoznpodarouChar"/>
    <w:uiPriority w:val="99"/>
    <w:semiHidden/>
    <w:unhideWhenUsed/>
    <w:rsid w:val="00A621C8"/>
    <w:rPr>
      <w:sz w:val="20"/>
      <w:szCs w:val="20"/>
    </w:rPr>
  </w:style>
  <w:style w:type="character" w:customStyle="1" w:styleId="TextpoznpodarouChar">
    <w:name w:val="Text pozn. pod čarou Char"/>
    <w:link w:val="Textpoznpodarou"/>
    <w:uiPriority w:val="99"/>
    <w:semiHidden/>
    <w:rsid w:val="00A621C8"/>
    <w:rPr>
      <w:lang w:eastAsia="en-US"/>
    </w:rPr>
  </w:style>
  <w:style w:type="character" w:styleId="Znakapoznpodarou">
    <w:name w:val="footnote reference"/>
    <w:uiPriority w:val="99"/>
    <w:semiHidden/>
    <w:unhideWhenUsed/>
    <w:rsid w:val="00A621C8"/>
    <w:rPr>
      <w:vertAlign w:val="superscript"/>
    </w:rPr>
  </w:style>
  <w:style w:type="character" w:styleId="Odkaznakoment">
    <w:name w:val="annotation reference"/>
    <w:uiPriority w:val="99"/>
    <w:semiHidden/>
    <w:unhideWhenUsed/>
    <w:rsid w:val="000F1EBC"/>
    <w:rPr>
      <w:sz w:val="16"/>
      <w:szCs w:val="16"/>
    </w:rPr>
  </w:style>
  <w:style w:type="paragraph" w:styleId="Textkomente">
    <w:name w:val="annotation text"/>
    <w:basedOn w:val="Normln"/>
    <w:link w:val="TextkomenteChar"/>
    <w:uiPriority w:val="99"/>
    <w:semiHidden/>
    <w:unhideWhenUsed/>
    <w:rsid w:val="000F1EBC"/>
    <w:rPr>
      <w:sz w:val="20"/>
      <w:szCs w:val="20"/>
    </w:rPr>
  </w:style>
  <w:style w:type="character" w:customStyle="1" w:styleId="TextkomenteChar">
    <w:name w:val="Text komentáře Char"/>
    <w:link w:val="Textkomente"/>
    <w:uiPriority w:val="99"/>
    <w:semiHidden/>
    <w:rsid w:val="000F1EBC"/>
    <w:rPr>
      <w:lang w:eastAsia="en-US"/>
    </w:rPr>
  </w:style>
  <w:style w:type="paragraph" w:styleId="Pedmtkomente">
    <w:name w:val="annotation subject"/>
    <w:basedOn w:val="Textkomente"/>
    <w:next w:val="Textkomente"/>
    <w:link w:val="PedmtkomenteChar"/>
    <w:uiPriority w:val="99"/>
    <w:semiHidden/>
    <w:unhideWhenUsed/>
    <w:rsid w:val="000F1EBC"/>
    <w:rPr>
      <w:b/>
      <w:bCs/>
    </w:rPr>
  </w:style>
  <w:style w:type="character" w:customStyle="1" w:styleId="PedmtkomenteChar">
    <w:name w:val="Předmět komentáře Char"/>
    <w:link w:val="Pedmtkomente"/>
    <w:uiPriority w:val="99"/>
    <w:semiHidden/>
    <w:rsid w:val="000F1EBC"/>
    <w:rPr>
      <w:b/>
      <w:bCs/>
      <w:lang w:eastAsia="en-US"/>
    </w:rPr>
  </w:style>
  <w:style w:type="paragraph" w:styleId="Textbubliny">
    <w:name w:val="Balloon Text"/>
    <w:basedOn w:val="Normln"/>
    <w:link w:val="TextbublinyChar"/>
    <w:uiPriority w:val="99"/>
    <w:semiHidden/>
    <w:unhideWhenUsed/>
    <w:rsid w:val="000F1EBC"/>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0F1EBC"/>
    <w:rPr>
      <w:rFonts w:ascii="Tahoma" w:hAnsi="Tahoma" w:cs="Tahoma"/>
      <w:sz w:val="16"/>
      <w:szCs w:val="16"/>
      <w:lang w:eastAsia="en-US"/>
    </w:rPr>
  </w:style>
  <w:style w:type="paragraph" w:styleId="Revize">
    <w:name w:val="Revision"/>
    <w:hidden/>
    <w:uiPriority w:val="99"/>
    <w:semiHidden/>
    <w:rsid w:val="007638D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37195-B95B-484F-8092-611E4EA2539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1864</Words>
  <Characters>11000</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Petr Dimun</cp:lastModifiedBy>
  <cp:revision>2</cp:revision>
  <dcterms:created xsi:type="dcterms:W3CDTF">2018-10-26T17:20:00Z</dcterms:created>
  <dcterms:modified xsi:type="dcterms:W3CDTF">2018-10-26T17:20:00Z</dcterms:modified>
</cp:coreProperties>
</file>