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0DA8" w14:textId="77777777" w:rsidR="003C646B" w:rsidRPr="003C646B" w:rsidRDefault="003C646B" w:rsidP="003C646B">
      <w:pPr>
        <w:spacing w:before="120" w:after="0" w:line="240" w:lineRule="auto"/>
        <w:jc w:val="right"/>
        <w:rPr>
          <w:rFonts w:ascii="Times New Roman" w:eastAsia="Times New Roman" w:hAnsi="Times New Roman" w:cs="Times New Roman"/>
          <w:kern w:val="0"/>
          <w:lang w:eastAsia="cs-CZ"/>
          <w14:ligatures w14:val="none"/>
        </w:rPr>
      </w:pPr>
      <w:r w:rsidRPr="003C646B">
        <w:rPr>
          <w:rFonts w:ascii="Times New Roman" w:eastAsia="Times New Roman" w:hAnsi="Times New Roman" w:cs="Times New Roman"/>
          <w:kern w:val="0"/>
          <w:lang w:eastAsia="cs-CZ"/>
          <w14:ligatures w14:val="none"/>
        </w:rPr>
        <w:t>III.</w:t>
      </w:r>
    </w:p>
    <w:p w14:paraId="1552B6E2" w14:textId="77777777" w:rsidR="003C646B" w:rsidRPr="003C646B" w:rsidRDefault="003C646B" w:rsidP="003C646B">
      <w:pPr>
        <w:spacing w:before="120" w:after="0" w:line="240" w:lineRule="auto"/>
        <w:jc w:val="center"/>
        <w:rPr>
          <w:rFonts w:ascii="Times New Roman" w:eastAsia="Times New Roman" w:hAnsi="Times New Roman" w:cs="Times New Roman"/>
          <w:b/>
          <w:kern w:val="0"/>
          <w:lang w:eastAsia="cs-CZ"/>
          <w14:ligatures w14:val="none"/>
        </w:rPr>
      </w:pPr>
    </w:p>
    <w:p w14:paraId="213EAF34" w14:textId="77777777" w:rsidR="003C646B" w:rsidRPr="003C646B" w:rsidRDefault="003C646B" w:rsidP="003C646B">
      <w:pPr>
        <w:spacing w:before="120" w:after="0" w:line="240" w:lineRule="auto"/>
        <w:jc w:val="center"/>
        <w:rPr>
          <w:rFonts w:ascii="Times New Roman" w:eastAsia="Times New Roman" w:hAnsi="Times New Roman" w:cs="Times New Roman"/>
          <w:b/>
          <w:kern w:val="0"/>
          <w:lang w:eastAsia="cs-CZ"/>
          <w14:ligatures w14:val="none"/>
        </w:rPr>
      </w:pPr>
      <w:r w:rsidRPr="003C646B">
        <w:rPr>
          <w:rFonts w:ascii="Times New Roman" w:eastAsia="Times New Roman" w:hAnsi="Times New Roman" w:cs="Times New Roman"/>
          <w:b/>
          <w:kern w:val="0"/>
          <w:lang w:eastAsia="cs-CZ"/>
          <w14:ligatures w14:val="none"/>
        </w:rPr>
        <w:t>Priority trestní politiky plynoucí z programového prohlášení vlády</w:t>
      </w:r>
    </w:p>
    <w:p w14:paraId="7CD43315" w14:textId="77777777" w:rsidR="003C646B" w:rsidRPr="003C646B" w:rsidRDefault="003C646B" w:rsidP="003C646B">
      <w:pPr>
        <w:spacing w:before="120" w:after="0" w:line="240" w:lineRule="auto"/>
        <w:rPr>
          <w:rFonts w:ascii="Times New Roman" w:eastAsia="Calibri" w:hAnsi="Times New Roman" w:cs="Times New Roman"/>
          <w:kern w:val="0"/>
          <w14:ligatures w14:val="none"/>
        </w:rPr>
      </w:pPr>
    </w:p>
    <w:p w14:paraId="73B89A9F"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Times New Roman" w:hAnsi="Times New Roman" w:cs="Times New Roman"/>
          <w:bCs/>
          <w:noProof/>
          <w:kern w:val="0"/>
          <w:lang w:eastAsia="cs-CZ"/>
          <w14:ligatures w14:val="none"/>
        </w:rPr>
        <w:t xml:space="preserve">Vláda nastoluje v kapitole č. 6 svého programového prohlášení (Právo a spravedlnost) řadu témat, z nichž je patrno, že </w:t>
      </w:r>
      <w:r w:rsidRPr="003C646B">
        <w:rPr>
          <w:rFonts w:ascii="Times New Roman" w:eastAsia="Calibri" w:hAnsi="Times New Roman" w:cs="Times New Roman"/>
          <w:kern w:val="0"/>
          <w14:ligatures w14:val="none"/>
        </w:rPr>
        <w:t>v praktickém fungování trestní justice vidí prostor pro zlepšení.</w:t>
      </w:r>
    </w:p>
    <w:p w14:paraId="0C10B87B"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Z analýzy těchto závazků lze dovodit, že vláda zejména klade důraz na </w:t>
      </w:r>
    </w:p>
    <w:p w14:paraId="7881FDC1" w14:textId="77777777" w:rsidR="003C646B" w:rsidRPr="003C646B" w:rsidRDefault="003C646B" w:rsidP="003C646B">
      <w:pPr>
        <w:numPr>
          <w:ilvl w:val="0"/>
          <w:numId w:val="1"/>
        </w:num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posílení odpovědnosti pachatelů trestné činnosti (s tím souvisí např. požadavek na zvýšení odpovědnosti intoxikovaných pachatelů, zvýšení odpovědnosti za spáchání drogových trestných činů v rámci organizované skupiny, požadavek na rozšíření trestnosti zanedbání povinné výživy, zvážení změny věkové hranice trestní odpovědnosti aj.),</w:t>
      </w:r>
    </w:p>
    <w:p w14:paraId="2DF0C25C" w14:textId="5B69C0DE" w:rsidR="003C646B" w:rsidRPr="003C646B" w:rsidRDefault="003C646B" w:rsidP="003C646B">
      <w:pPr>
        <w:numPr>
          <w:ilvl w:val="0"/>
          <w:numId w:val="1"/>
        </w:num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otázku ukládání adekvátních trestů, kdy např. v postihu násilné kriminality, kriminality v sexuální oblasti, domácího násilí či kriminality páchané na zvířatech lze považovat současný přístup justice v některých případech až za benevolentní; zejména u tohoto druhu kriminality je třeba náležitým způsobem zohledňovat újmu způsobenou oběti, neboť ta do značné míry určuje závažnost spáchaného trestného činu, a dbát na to, aby prostřednictvím vhodných sankcí byla společnost chráněna zejména před opakováním této závažné trestné činnosti,</w:t>
      </w:r>
    </w:p>
    <w:p w14:paraId="085D16F8" w14:textId="77777777" w:rsidR="003C646B" w:rsidRPr="003C646B" w:rsidRDefault="003C646B" w:rsidP="003C646B">
      <w:pPr>
        <w:numPr>
          <w:ilvl w:val="0"/>
          <w:numId w:val="1"/>
        </w:num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s otázkou ukládání adekvátních trestů pak souvisí i otázka tzv. kumulace trestů,</w:t>
      </w:r>
    </w:p>
    <w:p w14:paraId="7646EFDF" w14:textId="77777777" w:rsidR="003C646B" w:rsidRPr="003C646B" w:rsidRDefault="003C646B" w:rsidP="003C646B">
      <w:pPr>
        <w:numPr>
          <w:ilvl w:val="0"/>
          <w:numId w:val="1"/>
        </w:num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problematiku zacházení s pachateli trestných činů (např. problematika sankcionování mladistvých, podmínky podmíněného propuštění, zefektivnění alternativních trestů) a</w:t>
      </w:r>
    </w:p>
    <w:p w14:paraId="1A6D3EAB" w14:textId="77777777" w:rsidR="003C646B" w:rsidRPr="003C646B" w:rsidRDefault="003C646B" w:rsidP="003C646B">
      <w:pPr>
        <w:numPr>
          <w:ilvl w:val="0"/>
          <w:numId w:val="1"/>
        </w:num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respektování zásady ultima ratio, a to zejména v oblasti verbálních trestných činů a při posuzování podmínek nutné obrany.</w:t>
      </w:r>
    </w:p>
    <w:p w14:paraId="6C09D4F3"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K dosažení účelu trestního řízení je třeba zajistit adekvátní procesní prostředí („zmodernizujeme trestní řád“) a dostatečné finanční a materiální podmínky (platové podmínky administrativního aparátu soudů a státních zastupitelství, platové podmínky příslušníků Vězeňské služby České republiky).</w:t>
      </w:r>
    </w:p>
    <w:p w14:paraId="503B5C45"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Některé z takto stanovených priorit trestní politiky nelze splnit jinak než cestou legislativní změny („přijmeme taková legislativní opatření, která zajistí, že kdokoli, kdo se úmyslně nebo z hrubé nedbalosti vyhýbá placení výživného, ponese plnou trestní odpovědnost“ aj.), u jiných přichází v úvahu jejich naplnění rovněž, či dokonce spíše, prostřednictvím nelegislativních opatření, která povedou aplikační praxi k účelnějšímu využívání prostoru vytvořeného platnou právní úpravou při zohlednění konkrétních okolností případu.</w:t>
      </w:r>
    </w:p>
    <w:p w14:paraId="104FB5C9" w14:textId="1431D9B9"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Možnosti ovlivnění justiční aplikační praxe ze strany exekutivy jsou však silně limitované.</w:t>
      </w:r>
      <w:r w:rsidR="00DC16F8">
        <w:rPr>
          <w:rFonts w:ascii="Times New Roman" w:eastAsia="Calibri" w:hAnsi="Times New Roman" w:cs="Times New Roman"/>
          <w:kern w:val="0"/>
          <w14:ligatures w14:val="none"/>
        </w:rPr>
        <w:t xml:space="preserve"> </w:t>
      </w:r>
      <w:r w:rsidRPr="003C646B">
        <w:rPr>
          <w:rFonts w:ascii="Times New Roman" w:eastAsia="Calibri" w:hAnsi="Times New Roman" w:cs="Times New Roman"/>
          <w:kern w:val="0"/>
          <w14:ligatures w14:val="none"/>
        </w:rPr>
        <w:t xml:space="preserve">Metodické usměrnění praxe přichází v úvahu pouze ve vztahu ke státním zástupcům, nicméně touto kompetencí disponuje nejvyšší státní zástupce (§ 12 odst. 1 a 2 zákona č. 283/1993 Sb., o státním zastupitelství, ve znění pozdějších předpisů), nikoli ministr spravedlnosti. I ve vztahu k němu se uplatní § 3 odst. 1 zákona o státním zastupitelství, podle kterého „jiné orgány nebo osoby nesmí do jejich [státních zástupců] činnosti zasahovat nebo je při jejich výkonu nahrazovat anebo zastupovat“. To samozřejmě nevylučuje, aby státní zástupci jako součást moci výkonné byli ministrem spravedlnosti seznámeni (ať již přímo či prostřednictvím nejvyššího státního zástupce) s prioritami vlády a požádáni o jejich zohlednění. </w:t>
      </w:r>
    </w:p>
    <w:p w14:paraId="5CFD9704" w14:textId="0B50048E"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Z tohoto důvodu se navrhuje uložit ministru spravedlnosti úkol, aby za účelem naplnění níže uvedených priorit oslovil nejvyšší státní zástupkyni, seznámil ji s prioritami vlády v trestní </w:t>
      </w:r>
      <w:r w:rsidRPr="003C646B">
        <w:rPr>
          <w:rFonts w:ascii="Times New Roman" w:eastAsia="Calibri" w:hAnsi="Times New Roman" w:cs="Times New Roman"/>
          <w:kern w:val="0"/>
          <w14:ligatures w14:val="none"/>
        </w:rPr>
        <w:lastRenderedPageBreak/>
        <w:t xml:space="preserve">oblasti a požádal ji, aby v rámci svých zákonných pravomocí </w:t>
      </w:r>
      <w:r w:rsidR="007D7607">
        <w:rPr>
          <w:rFonts w:ascii="Times New Roman" w:eastAsia="Calibri" w:hAnsi="Times New Roman" w:cs="Times New Roman"/>
          <w:kern w:val="0"/>
          <w14:ligatures w14:val="none"/>
        </w:rPr>
        <w:t>přijala vhodná</w:t>
      </w:r>
      <w:r w:rsidRPr="003C646B">
        <w:rPr>
          <w:rFonts w:ascii="Times New Roman" w:eastAsia="Calibri" w:hAnsi="Times New Roman" w:cs="Times New Roman"/>
          <w:kern w:val="0"/>
          <w14:ligatures w14:val="none"/>
        </w:rPr>
        <w:t xml:space="preserve"> opatření směřující k jejich zohlednění v činnosti státního zastupitelství, zejména při sjednocování a usměrňování postupu státních zástupců při výkonu působnosti státního zastupitelství, a sledovala jejich uplatňování v praxi. V tomto směru je třeba klást i důraz na náležité zohledňování zájmů a práv obětí, a to i při úvahách o druhu a výši navrhovaných trestů.</w:t>
      </w:r>
    </w:p>
    <w:p w14:paraId="07975ABC"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p>
    <w:p w14:paraId="54808F73"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Prioritami trestní politiky plynoucími z programového prohlášení vlády, k jejichž plnění se navrhuje jít uvedenou cestou, jsou </w:t>
      </w:r>
    </w:p>
    <w:p w14:paraId="630C0E9C" w14:textId="77777777" w:rsidR="003C646B" w:rsidRPr="003C646B" w:rsidRDefault="003C646B" w:rsidP="003C646B">
      <w:pPr>
        <w:spacing w:before="120" w:after="0" w:line="240" w:lineRule="auto"/>
        <w:jc w:val="both"/>
        <w:rPr>
          <w:rFonts w:ascii="Times New Roman" w:eastAsia="Calibri" w:hAnsi="Times New Roman" w:cs="Times New Roman"/>
          <w:b/>
          <w:bCs/>
          <w:kern w:val="0"/>
          <w14:ligatures w14:val="none"/>
        </w:rPr>
      </w:pPr>
      <w:r w:rsidRPr="003C646B">
        <w:rPr>
          <w:rFonts w:ascii="Times New Roman" w:eastAsia="Calibri" w:hAnsi="Times New Roman" w:cs="Times New Roman"/>
          <w:b/>
          <w:bCs/>
          <w:kern w:val="0"/>
          <w14:ligatures w14:val="none"/>
        </w:rPr>
        <w:t>a) ukládání (navrhování) vhodných trestů</w:t>
      </w:r>
    </w:p>
    <w:p w14:paraId="60995CB9"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Vhodná volba druhu a výše trestu vyžaduje zvážení všech okolností jednotlivého případu, přičemž je třeba posoudit povahu a závažnost spáchaného trestného činu, dopady na oběť (zejména v případě násilné kriminality či trestných činů proti lidské důstojnosti v sexuální oblasti) a na její další život, přihlédnout k osobě pachatele včetně jeho dosavadního způsobu života, k jeho chování po činu, včetně jeho přístupu k oběti, zohlednit jeho vztah ke spáchané trestné činnosti a případnou snahu o odčinění jejích následků aj. </w:t>
      </w:r>
    </w:p>
    <w:p w14:paraId="76870E2E" w14:textId="1FD90C6A"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Lze nicméně vyslovit myšlenku, že soudní praxe u některých druhů trestné činnosti tíhne k ukládání trestů, které se ne vždy jeví jako vhodné, přiměřené a spravedlivé. V oblasti trestního postihu násilné kriminality, kriminality v sexuální oblasti, domácího násilí či kriminality páchané na zvířatech lze považovat současný přístup justice v některých případech až za benevolentní, kdy klade v některých případech až </w:t>
      </w:r>
      <w:r w:rsidR="007D7607">
        <w:rPr>
          <w:rFonts w:ascii="Times New Roman" w:eastAsia="Calibri" w:hAnsi="Times New Roman" w:cs="Times New Roman"/>
          <w:kern w:val="0"/>
          <w14:ligatures w14:val="none"/>
        </w:rPr>
        <w:t>přílišný</w:t>
      </w:r>
      <w:r w:rsidR="007D7607" w:rsidRPr="003C646B">
        <w:rPr>
          <w:rFonts w:ascii="Times New Roman" w:eastAsia="Calibri" w:hAnsi="Times New Roman" w:cs="Times New Roman"/>
          <w:kern w:val="0"/>
          <w14:ligatures w14:val="none"/>
        </w:rPr>
        <w:t xml:space="preserve"> </w:t>
      </w:r>
      <w:r w:rsidRPr="003C646B">
        <w:rPr>
          <w:rFonts w:ascii="Times New Roman" w:eastAsia="Calibri" w:hAnsi="Times New Roman" w:cs="Times New Roman"/>
          <w:kern w:val="0"/>
          <w14:ligatures w14:val="none"/>
        </w:rPr>
        <w:t>důraz na osobu pachatele (např. jeho dosavadní bezúhonnost) a upozaďuje dopady, který jeho trestný čin měl na oběť. Nežádoucím důsledkem toho je až příliš časté ukládání podmíněných trestů odnětí svobody i</w:t>
      </w:r>
      <w:r w:rsidR="0067367A">
        <w:rPr>
          <w:rFonts w:ascii="Times New Roman" w:eastAsia="Calibri" w:hAnsi="Times New Roman" w:cs="Times New Roman"/>
          <w:kern w:val="0"/>
          <w14:ligatures w14:val="none"/>
        </w:rPr>
        <w:t> </w:t>
      </w:r>
      <w:r w:rsidRPr="003C646B">
        <w:rPr>
          <w:rFonts w:ascii="Times New Roman" w:eastAsia="Calibri" w:hAnsi="Times New Roman" w:cs="Times New Roman"/>
          <w:kern w:val="0"/>
          <w14:ligatures w14:val="none"/>
        </w:rPr>
        <w:t>za</w:t>
      </w:r>
      <w:r w:rsidR="0067367A">
        <w:rPr>
          <w:rFonts w:ascii="Times New Roman" w:eastAsia="Calibri" w:hAnsi="Times New Roman" w:cs="Times New Roman"/>
          <w:kern w:val="0"/>
          <w14:ligatures w14:val="none"/>
        </w:rPr>
        <w:t> </w:t>
      </w:r>
      <w:r w:rsidRPr="003C646B">
        <w:rPr>
          <w:rFonts w:ascii="Times New Roman" w:eastAsia="Calibri" w:hAnsi="Times New Roman" w:cs="Times New Roman"/>
          <w:kern w:val="0"/>
          <w14:ligatures w14:val="none"/>
        </w:rPr>
        <w:t xml:space="preserve">typově nejzávažnější projevy kriminality v sexuální oblasti, které by ze strany státních zástupců nemělo být akceptováno. </w:t>
      </w:r>
    </w:p>
    <w:p w14:paraId="3637E6E9"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Zákonodárce stanovením trestních sazeb vyjadřuje svoji představu o typové společenské škodlivosti daného jednání a rozpětí trestních sazeb nastavuje tak, aby umožňovalo postihnout všechny v úvahu přicházející způsoby jednání naplňující znaky dané skutkové podstaty. Pouhé plošné zpřísnění trestních sazeb by přitom v praxi mohlo vést k tomu, že v některých případech by soud byl nucen uložit trest nepřiměřeně přísný, anebo naopak využít možnost uložit trest pod dolní hranicí trestní sazby, což by mělo být spíše výjimečným opatřením. Jeví se proto vhodné vést justiční praxi k aktivnějšímu využívání stávajícího právního rámce, který v zásadě individualizovaný přístup k pachateli a uložení přiměřeného trestu umožňuje.</w:t>
      </w:r>
    </w:p>
    <w:p w14:paraId="19A23736"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Vedle toho je nicméně třeba vnímat, že z pohledu oběti přitom nemusí být jediným měřítkem odpovídající trestní reakce druh či přísnost uloženého trestu. Význam může mít také rychlost a srozumitelnost trestního řízení, uznání újmy způsobené oběti, náhrada škody či nemajetkové újmy nebo přijetí vhodných přiměřených omezení a povinností, která omezí riziko opakování trestné činnosti. </w:t>
      </w:r>
    </w:p>
    <w:p w14:paraId="7F2CDFCA"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S otázkou ukládání (navrhování) trestů pak souvisí i tzv. kumulace trestů. Změny v této oblasti sice přinesl zákon č. 270/2025 Sb. účinný od ledna tohoto roku, tyto změny však pouze procesně omezují množství kumulovaných trestů, aniž by řešily otázku ukládání trestů za spáchání trestného činu v době výkonu dříve uloženého alternativního trestu či ve zkušební době stanovené při uložení předchozího trestu odnětí svobody s podmíněným odkladem výkonu.</w:t>
      </w:r>
    </w:p>
    <w:p w14:paraId="77924C07"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p>
    <w:p w14:paraId="427BAE4A"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p>
    <w:p w14:paraId="1DDA2F91" w14:textId="77777777" w:rsidR="003C646B" w:rsidRPr="003C646B" w:rsidRDefault="003C646B" w:rsidP="003C646B">
      <w:pPr>
        <w:spacing w:before="120" w:after="0" w:line="240" w:lineRule="auto"/>
        <w:jc w:val="both"/>
        <w:rPr>
          <w:rFonts w:ascii="Times New Roman" w:eastAsia="Calibri" w:hAnsi="Times New Roman" w:cs="Times New Roman"/>
          <w:b/>
          <w:bCs/>
          <w:kern w:val="0"/>
          <w14:ligatures w14:val="none"/>
        </w:rPr>
      </w:pPr>
      <w:r w:rsidRPr="003C646B">
        <w:rPr>
          <w:rFonts w:ascii="Times New Roman" w:eastAsia="Calibri" w:hAnsi="Times New Roman" w:cs="Times New Roman"/>
          <w:b/>
          <w:bCs/>
          <w:kern w:val="0"/>
          <w14:ligatures w14:val="none"/>
        </w:rPr>
        <w:lastRenderedPageBreak/>
        <w:t xml:space="preserve">b) podmíněné propuštění  </w:t>
      </w:r>
    </w:p>
    <w:p w14:paraId="565F899E" w14:textId="72E23A9E" w:rsidR="003C646B" w:rsidRPr="003C646B" w:rsidRDefault="007D7607" w:rsidP="003C646B">
      <w:pPr>
        <w:spacing w:before="120"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Z</w:t>
      </w:r>
      <w:r w:rsidR="003C646B" w:rsidRPr="003C646B">
        <w:rPr>
          <w:rFonts w:ascii="Times New Roman" w:eastAsia="Calibri" w:hAnsi="Times New Roman" w:cs="Times New Roman"/>
          <w:kern w:val="0"/>
          <w14:ligatures w14:val="none"/>
        </w:rPr>
        <w:t xml:space="preserve"> hlediska ochrany společnosti a zajištění bezpečného propuštění by u osob opakovaně trestaných mělo být podmíněné propuštění z výkonu trestu odnětí svobody spojeno s určitými vyvažujícími opatřeními tak, aby přechod na svobodu proběhl relativně plynule a současně byla zajištěna ochrana společnosti před další kriminalitou.</w:t>
      </w:r>
    </w:p>
    <w:p w14:paraId="2A2F583A" w14:textId="123AA9AC"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Podmíněné propuštění je přitom třeba vnímat nejen jako rozhodnutí o předčasném ukončení výkonu trestu odnětí svobody, ale rovněž jako nástroj řízeného přechodu odsouzeného z výkonu trestu do běžného života. Vhodně nastavené podmínky podmíněného propuštění by proto měly reagovat na konkrétní rizika a potřeby odsouzeného a směřovat nejen ke kontrole jeho chování, ale též k omezení kriminogenních faktorů a vytvoření podmínek pro jeho řádné začlenění do společnosti. V případě recidivistů by proto při podmíněném propuštění měla být ukládána vhodná přiměřená omezení i povinnosti, které budou reagovat na kriminogenní faktory odsouzeného, včetně povinnosti zdržovat se po stanovenou dobu v určitém čase v obydlí </w:t>
      </w:r>
      <w:r w:rsidR="007D7607">
        <w:rPr>
          <w:rFonts w:ascii="Times New Roman" w:eastAsia="Calibri" w:hAnsi="Times New Roman" w:cs="Times New Roman"/>
          <w:kern w:val="0"/>
          <w14:ligatures w14:val="none"/>
        </w:rPr>
        <w:t>kontrolované s využitím elektronického monitorovacího systému (</w:t>
      </w:r>
      <w:r w:rsidR="0067367A">
        <w:rPr>
          <w:rFonts w:ascii="Times New Roman" w:eastAsia="Calibri" w:hAnsi="Times New Roman" w:cs="Times New Roman"/>
          <w:kern w:val="0"/>
          <w14:ligatures w14:val="none"/>
        </w:rPr>
        <w:t xml:space="preserve">tzv. </w:t>
      </w:r>
      <w:r w:rsidR="007D7607">
        <w:rPr>
          <w:rFonts w:ascii="Times New Roman" w:eastAsia="Calibri" w:hAnsi="Times New Roman" w:cs="Times New Roman"/>
          <w:kern w:val="0"/>
          <w14:ligatures w14:val="none"/>
        </w:rPr>
        <w:t xml:space="preserve">„náramků“), </w:t>
      </w:r>
      <w:r w:rsidRPr="003C646B">
        <w:rPr>
          <w:rFonts w:ascii="Times New Roman" w:eastAsia="Calibri" w:hAnsi="Times New Roman" w:cs="Times New Roman"/>
          <w:kern w:val="0"/>
          <w14:ligatures w14:val="none"/>
        </w:rPr>
        <w:t>případně doplněné probačním dohledem, je-li takový dohled nutný vzhledem k osobě odsouzeného a</w:t>
      </w:r>
      <w:r w:rsidR="007D7607">
        <w:rPr>
          <w:rFonts w:ascii="Times New Roman" w:eastAsia="Calibri" w:hAnsi="Times New Roman" w:cs="Times New Roman"/>
          <w:kern w:val="0"/>
          <w14:ligatures w14:val="none"/>
        </w:rPr>
        <w:t> </w:t>
      </w:r>
      <w:r w:rsidRPr="003C646B">
        <w:rPr>
          <w:rFonts w:ascii="Times New Roman" w:eastAsia="Calibri" w:hAnsi="Times New Roman" w:cs="Times New Roman"/>
          <w:kern w:val="0"/>
          <w14:ligatures w14:val="none"/>
        </w:rPr>
        <w:t>jeho kriminální minulosti; tato opatření by přitom měla zahrnovat ve vhodných případech i</w:t>
      </w:r>
      <w:r w:rsidR="007D7607">
        <w:rPr>
          <w:rFonts w:ascii="Times New Roman" w:eastAsia="Calibri" w:hAnsi="Times New Roman" w:cs="Times New Roman"/>
          <w:kern w:val="0"/>
          <w14:ligatures w14:val="none"/>
        </w:rPr>
        <w:t> </w:t>
      </w:r>
      <w:r w:rsidRPr="003C646B">
        <w:rPr>
          <w:rFonts w:ascii="Times New Roman" w:eastAsia="Calibri" w:hAnsi="Times New Roman" w:cs="Times New Roman"/>
          <w:kern w:val="0"/>
          <w14:ligatures w14:val="none"/>
        </w:rPr>
        <w:t>opatření směřujících ke snížení rizika recidivy.</w:t>
      </w:r>
    </w:p>
    <w:p w14:paraId="75587D23"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Tomu by měla odpovídat také návaznost mezi zacházením s odsouzeným ve výkonu trestu a opatřeními uplatňovanými po jeho propuštění, zejména činností Probační a mediační služby, je-li podmíněně propuštěnému uložen dohled, a dalších subjektů podílejících se na postpenitenciární péči. Smyslem těchto opatření je nejen kontrola propuštěného, ale především snížení rizika recidivy, které představuje jeden z nejvýznamnějších nástrojů dlouhodobé ochrany potenciálních i konkrétních obětí trestné činnosti.</w:t>
      </w:r>
    </w:p>
    <w:p w14:paraId="5EC5A046" w14:textId="77777777" w:rsidR="003C646B" w:rsidRPr="003C646B" w:rsidRDefault="003C646B" w:rsidP="003C646B">
      <w:pPr>
        <w:spacing w:before="120" w:after="0" w:line="240" w:lineRule="auto"/>
        <w:jc w:val="both"/>
        <w:rPr>
          <w:rFonts w:ascii="Times New Roman" w:eastAsia="Calibri" w:hAnsi="Times New Roman" w:cs="Times New Roman"/>
          <w:b/>
          <w:bCs/>
          <w:kern w:val="0"/>
          <w14:ligatures w14:val="none"/>
        </w:rPr>
      </w:pPr>
      <w:r w:rsidRPr="003C646B">
        <w:rPr>
          <w:rFonts w:ascii="Times New Roman" w:eastAsia="Calibri" w:hAnsi="Times New Roman" w:cs="Times New Roman"/>
          <w:b/>
          <w:bCs/>
          <w:kern w:val="0"/>
          <w14:ligatures w14:val="none"/>
        </w:rPr>
        <w:t>c) problematika svobody slova</w:t>
      </w:r>
    </w:p>
    <w:p w14:paraId="5EA2814F"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Stávající trestní zákoník, obdobně jako trestní zákony jiných států, upravuje některé verbální trestné činy a nastavuje tak hranice svobody projevu. U těchto trestných činů se více než u jiných projevuje zásada ultima ratio, z níž vyplývá, že prostředky trestního práva by měly být postihovány pouze ty nejzávažnější projevy protispolečenské činnosti, které výrazným způsobem zasahují do práv jiných osob nebo zásadně ohrožují veřejný pořádek. </w:t>
      </w:r>
    </w:p>
    <w:p w14:paraId="1B479269"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Posouzení toho, zda dané jednání materiálně překračuje limity svobody slova, anebo nikoliv, bylo přitom mělo být řešeno již v rámci postupu státního zastupitelství, aby osoby nebyly stavěny zbytečně před soud.</w:t>
      </w:r>
    </w:p>
    <w:p w14:paraId="23C89067" w14:textId="380B77B6"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Důsledné uplatňování zásady subsidiarity trestní represe současně předpokládá rozlišování mezi projevy, které jsou společensky či morálně problematické, a projevy, jejichž závažnost již odůvodňuje použití prostředků trestního práva. Samotná kontroverznost, urážlivost či společenská nepřijatelnost projevu bez dalšího nemůže být důvodem pro trestněprávní reakci, nejsou-li současně naplněny zákonné podmínky trestní odpovědnosti.</w:t>
      </w:r>
      <w:r w:rsidR="007D7607">
        <w:rPr>
          <w:rFonts w:ascii="Times New Roman" w:eastAsia="Calibri" w:hAnsi="Times New Roman" w:cs="Times New Roman"/>
          <w:kern w:val="0"/>
          <w14:ligatures w14:val="none"/>
        </w:rPr>
        <w:t xml:space="preserve"> To také odpovídá tomu, jaké garance pro svobodu projevu vyplývají z čl. 17 Listiny základních práv a svobod, ve světle navazující nálezové judikatury Ústavního soudu. </w:t>
      </w:r>
    </w:p>
    <w:p w14:paraId="6058731E" w14:textId="77777777" w:rsidR="003C646B" w:rsidRPr="003C646B" w:rsidRDefault="003C646B" w:rsidP="003C646B">
      <w:pPr>
        <w:spacing w:before="120" w:after="0" w:line="240" w:lineRule="auto"/>
        <w:jc w:val="both"/>
        <w:rPr>
          <w:rFonts w:ascii="Times New Roman" w:eastAsia="Calibri" w:hAnsi="Times New Roman" w:cs="Times New Roman"/>
          <w:b/>
          <w:bCs/>
          <w:kern w:val="0"/>
          <w14:ligatures w14:val="none"/>
        </w:rPr>
      </w:pPr>
      <w:r w:rsidRPr="003C646B">
        <w:rPr>
          <w:rFonts w:ascii="Times New Roman" w:eastAsia="Calibri" w:hAnsi="Times New Roman" w:cs="Times New Roman"/>
          <w:b/>
          <w:bCs/>
          <w:kern w:val="0"/>
          <w14:ligatures w14:val="none"/>
        </w:rPr>
        <w:t>d) nutná obrana</w:t>
      </w:r>
    </w:p>
    <w:p w14:paraId="3C452C7A"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Podle vládního prohlášení „[k]aždý má mít právo bránit svůj domov, život a majetek před nezákonným napadením bez obav, že bude následně stíhán.“ Právní úprava nutné obrany, tak jak je praxí vykládána, nezbytně nevyžaduje změnu, byť možné změny zohledňující recentní judikaturu v úvahu přicházejí.</w:t>
      </w:r>
    </w:p>
    <w:p w14:paraId="44C81159" w14:textId="77777777" w:rsidR="003C646B" w:rsidRPr="003C646B" w:rsidRDefault="003C646B" w:rsidP="003C646B">
      <w:pPr>
        <w:spacing w:before="120" w:after="0" w:line="240" w:lineRule="auto"/>
        <w:jc w:val="both"/>
        <w:rPr>
          <w:rFonts w:ascii="Calibri" w:eastAsia="Calibri" w:hAnsi="Calibri" w:cs="Times New Roman"/>
          <w:kern w:val="0"/>
          <w:sz w:val="22"/>
          <w:szCs w:val="22"/>
          <w14:ligatures w14:val="none"/>
        </w:rPr>
      </w:pPr>
      <w:r w:rsidRPr="003C646B">
        <w:rPr>
          <w:rFonts w:ascii="Times New Roman" w:eastAsia="Calibri" w:hAnsi="Times New Roman" w:cs="Times New Roman"/>
          <w:kern w:val="0"/>
          <w14:ligatures w14:val="none"/>
        </w:rPr>
        <w:lastRenderedPageBreak/>
        <w:t>K naplnění citovaného závazku by postačovalo zabezpečit, aby stávající judikatura, náležitě zohledňující subjektivní hledisko obránce včetně jeho psychického stavu, byla důsledně aplikována a nedocházelo tak k excesům.</w:t>
      </w:r>
    </w:p>
    <w:p w14:paraId="4A4E52AE"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Z trestněpolitického hlediska je v této oblasti významné rovněž to, aby orgány činné v trestním řízení již v jeho počátečních fázích důsledně rozlišovaly mezi jednáním, které vykazuje znaky excesu z mezí nutné obrany, a jednáním, které je trestním právem dovolenou reakcí na útok. Je-li již na základě zjištěných skutečností zřejmé, že byly splněny podmínky nutné obrany, nemělo by být trestní řízení vedeno déle, než je nezbytné k náležitému objasnění těchto skutečností.</w:t>
      </w:r>
    </w:p>
    <w:p w14:paraId="39C6C4C3"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 xml:space="preserve">Takový přístup chrání nejen osobu obránce před neodůvodněným trestním postihem, ale současně zachovává trestněprávní ochranu osoby, proti níž obrana směřovala, pro případy, </w:t>
      </w:r>
      <w:proofErr w:type="gramStart"/>
      <w:r w:rsidRPr="003C646B">
        <w:rPr>
          <w:rFonts w:ascii="Times New Roman" w:eastAsia="Calibri" w:hAnsi="Times New Roman" w:cs="Times New Roman"/>
          <w:kern w:val="0"/>
          <w14:ligatures w14:val="none"/>
        </w:rPr>
        <w:t>kdy</w:t>
      </w:r>
      <w:proofErr w:type="gramEnd"/>
      <w:r w:rsidRPr="003C646B">
        <w:rPr>
          <w:rFonts w:ascii="Times New Roman" w:eastAsia="Calibri" w:hAnsi="Times New Roman" w:cs="Times New Roman"/>
          <w:kern w:val="0"/>
          <w14:ligatures w14:val="none"/>
        </w:rPr>
        <w:t xml:space="preserve"> již byly meze nutné obrany překročeny.</w:t>
      </w:r>
    </w:p>
    <w:p w14:paraId="197747BB"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p>
    <w:p w14:paraId="10079113" w14:textId="77777777" w:rsidR="003C646B" w:rsidRPr="003C646B" w:rsidRDefault="003C646B" w:rsidP="003C646B">
      <w:pPr>
        <w:spacing w:before="120" w:after="0" w:line="240" w:lineRule="auto"/>
        <w:jc w:val="both"/>
        <w:rPr>
          <w:rFonts w:ascii="Times New Roman" w:eastAsia="Calibri" w:hAnsi="Times New Roman" w:cs="Times New Roman"/>
          <w:b/>
          <w:bCs/>
          <w:kern w:val="0"/>
          <w:u w:val="single"/>
          <w14:ligatures w14:val="none"/>
        </w:rPr>
      </w:pPr>
      <w:r w:rsidRPr="003C646B">
        <w:rPr>
          <w:rFonts w:ascii="Times New Roman" w:eastAsia="Calibri" w:hAnsi="Times New Roman" w:cs="Times New Roman"/>
          <w:b/>
          <w:bCs/>
          <w:kern w:val="0"/>
          <w:u w:val="single"/>
          <w14:ligatures w14:val="none"/>
        </w:rPr>
        <w:t>Závěrečné trestněpolitické východisko</w:t>
      </w:r>
    </w:p>
    <w:p w14:paraId="0D554BF7" w14:textId="77777777" w:rsidR="003C646B" w:rsidRPr="003C646B" w:rsidRDefault="003C646B" w:rsidP="003C646B">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Uvedené priority by měly být prosazovány jako vzájemně provázané součásti trestní politiky. Požadavek na důsledný a spravedlivý postih závažné trestné činnosti musí být spojován s individualizací trestní reakce, respektováním subsidiarity trestní represe, prevencí recidivy a důslednou ochranou práv a oprávněných zájmů obětí trestných činů.</w:t>
      </w:r>
    </w:p>
    <w:p w14:paraId="2AAB9B86" w14:textId="55938076" w:rsidR="00802C86" w:rsidRPr="00427042" w:rsidRDefault="003C646B" w:rsidP="00427042">
      <w:pPr>
        <w:spacing w:before="120" w:after="0" w:line="240" w:lineRule="auto"/>
        <w:jc w:val="both"/>
        <w:rPr>
          <w:rFonts w:ascii="Times New Roman" w:eastAsia="Calibri" w:hAnsi="Times New Roman" w:cs="Times New Roman"/>
          <w:kern w:val="0"/>
          <w14:ligatures w14:val="none"/>
        </w:rPr>
      </w:pPr>
      <w:r w:rsidRPr="003C646B">
        <w:rPr>
          <w:rFonts w:ascii="Times New Roman" w:eastAsia="Calibri" w:hAnsi="Times New Roman" w:cs="Times New Roman"/>
          <w:kern w:val="0"/>
          <w14:ligatures w14:val="none"/>
        </w:rPr>
        <w:t>Oběť (poškozený) by přitom neměla být vnímána pouze jako procesní strana. Zohlednění následků trestného činu pro oběť, její ochrana před další viktimizací, možnost dosáhnout náhrady či jiného odčinění způsobené újmy a přijetí opatření snižujících riziko opakování trestné činnosti představují významná hlediska trestní politiky jako celku.</w:t>
      </w:r>
    </w:p>
    <w:sectPr w:rsidR="00802C86" w:rsidRPr="00427042" w:rsidSect="003C646B">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419E" w14:textId="77777777" w:rsidR="00BA1834" w:rsidRDefault="00BA1834">
      <w:pPr>
        <w:spacing w:after="0" w:line="240" w:lineRule="auto"/>
      </w:pPr>
      <w:r>
        <w:separator/>
      </w:r>
    </w:p>
  </w:endnote>
  <w:endnote w:type="continuationSeparator" w:id="0">
    <w:p w14:paraId="39FFD1CC" w14:textId="77777777" w:rsidR="00BA1834" w:rsidRDefault="00BA1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D4C8" w14:textId="77777777" w:rsidR="003C646B" w:rsidRPr="00CF2C5F" w:rsidRDefault="003C646B">
    <w:pPr>
      <w:pStyle w:val="Zpat"/>
      <w:jc w:val="center"/>
      <w:rPr>
        <w:rFonts w:ascii="Times New Roman" w:hAnsi="Times New Roman"/>
      </w:rPr>
    </w:pPr>
    <w:r w:rsidRPr="00CF2C5F">
      <w:rPr>
        <w:rFonts w:ascii="Times New Roman" w:hAnsi="Times New Roman"/>
      </w:rPr>
      <w:fldChar w:fldCharType="begin"/>
    </w:r>
    <w:r w:rsidRPr="00CF2C5F">
      <w:rPr>
        <w:rFonts w:ascii="Times New Roman" w:hAnsi="Times New Roman"/>
      </w:rPr>
      <w:instrText>PAGE   \* MERGEFORMAT</w:instrText>
    </w:r>
    <w:r w:rsidRPr="00CF2C5F">
      <w:rPr>
        <w:rFonts w:ascii="Times New Roman" w:hAnsi="Times New Roman"/>
      </w:rPr>
      <w:fldChar w:fldCharType="separate"/>
    </w:r>
    <w:r w:rsidRPr="00CF2C5F">
      <w:rPr>
        <w:rFonts w:ascii="Times New Roman" w:hAnsi="Times New Roman"/>
        <w:noProof/>
      </w:rPr>
      <w:t>2</w:t>
    </w:r>
    <w:r w:rsidRPr="00CF2C5F">
      <w:rPr>
        <w:rFonts w:ascii="Times New Roman" w:hAnsi="Times New Roman"/>
      </w:rPr>
      <w:fldChar w:fldCharType="end"/>
    </w:r>
  </w:p>
  <w:p w14:paraId="2D6ED167" w14:textId="77777777" w:rsidR="003C646B" w:rsidRDefault="003C646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504B" w14:textId="77777777" w:rsidR="003C646B" w:rsidRPr="004F5335" w:rsidRDefault="003C646B">
    <w:pPr>
      <w:pStyle w:val="Zpat"/>
      <w:jc w:val="center"/>
      <w:rPr>
        <w:rFonts w:ascii="Times New Roman" w:hAnsi="Times New Roman"/>
      </w:rPr>
    </w:pPr>
    <w:r w:rsidRPr="004F5335">
      <w:rPr>
        <w:rFonts w:ascii="Times New Roman" w:hAnsi="Times New Roman"/>
      </w:rPr>
      <w:fldChar w:fldCharType="begin"/>
    </w:r>
    <w:r w:rsidRPr="004F5335">
      <w:rPr>
        <w:rFonts w:ascii="Times New Roman" w:hAnsi="Times New Roman"/>
      </w:rPr>
      <w:instrText>PAGE   \* MERGEFORMAT</w:instrText>
    </w:r>
    <w:r w:rsidRPr="004F5335">
      <w:rPr>
        <w:rFonts w:ascii="Times New Roman" w:hAnsi="Times New Roman"/>
      </w:rPr>
      <w:fldChar w:fldCharType="separate"/>
    </w:r>
    <w:r w:rsidRPr="004F5335">
      <w:rPr>
        <w:rFonts w:ascii="Times New Roman" w:hAnsi="Times New Roman"/>
      </w:rPr>
      <w:t>2</w:t>
    </w:r>
    <w:r w:rsidRPr="004F5335">
      <w:rPr>
        <w:rFonts w:ascii="Times New Roman" w:hAnsi="Times New Roman"/>
      </w:rPr>
      <w:fldChar w:fldCharType="end"/>
    </w:r>
  </w:p>
  <w:p w14:paraId="20A606F1" w14:textId="77777777" w:rsidR="003C646B" w:rsidRDefault="003C64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BC97" w14:textId="77777777" w:rsidR="00BA1834" w:rsidRDefault="00BA1834">
      <w:pPr>
        <w:spacing w:after="0" w:line="240" w:lineRule="auto"/>
      </w:pPr>
      <w:r>
        <w:separator/>
      </w:r>
    </w:p>
  </w:footnote>
  <w:footnote w:type="continuationSeparator" w:id="0">
    <w:p w14:paraId="7076323A" w14:textId="77777777" w:rsidR="00BA1834" w:rsidRDefault="00BA1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9907" w14:textId="77777777" w:rsidR="003C646B" w:rsidRPr="0006499E" w:rsidRDefault="003C646B" w:rsidP="0006499E">
    <w:pPr>
      <w:pStyle w:val="Zhlav"/>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24F0"/>
    <w:multiLevelType w:val="hybridMultilevel"/>
    <w:tmpl w:val="CE042B56"/>
    <w:lvl w:ilvl="0" w:tplc="4E36C07C">
      <w:start w:val="5"/>
      <w:numFmt w:val="bullet"/>
      <w:lvlText w:val="-"/>
      <w:lvlJc w:val="left"/>
      <w:pPr>
        <w:ind w:left="405" w:hanging="360"/>
      </w:pPr>
      <w:rPr>
        <w:rFonts w:ascii="Calibri" w:eastAsia="Calibri" w:hAnsi="Calibri" w:cs="Calibr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num w:numId="1" w16cid:durableId="101149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6B"/>
    <w:rsid w:val="00086CA7"/>
    <w:rsid w:val="00190208"/>
    <w:rsid w:val="003C646B"/>
    <w:rsid w:val="003F4C19"/>
    <w:rsid w:val="00427042"/>
    <w:rsid w:val="004C52E2"/>
    <w:rsid w:val="00573FEC"/>
    <w:rsid w:val="005A6D38"/>
    <w:rsid w:val="005D10D5"/>
    <w:rsid w:val="0061405A"/>
    <w:rsid w:val="00666331"/>
    <w:rsid w:val="0067367A"/>
    <w:rsid w:val="007304E8"/>
    <w:rsid w:val="007D7607"/>
    <w:rsid w:val="00802C86"/>
    <w:rsid w:val="00A24A19"/>
    <w:rsid w:val="00BA1834"/>
    <w:rsid w:val="00BD4E44"/>
    <w:rsid w:val="00C80BD5"/>
    <w:rsid w:val="00DC16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C8F09"/>
  <w15:chartTrackingRefBased/>
  <w15:docId w15:val="{F102D4F7-D774-4103-A366-05ECCEAC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C64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C64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C646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C646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C646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C646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C646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C646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C646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646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C646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C646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C646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C646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C646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C646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C646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C646B"/>
    <w:rPr>
      <w:rFonts w:eastAsiaTheme="majorEastAsia" w:cstheme="majorBidi"/>
      <w:color w:val="272727" w:themeColor="text1" w:themeTint="D8"/>
    </w:rPr>
  </w:style>
  <w:style w:type="paragraph" w:styleId="Nzev">
    <w:name w:val="Title"/>
    <w:basedOn w:val="Normln"/>
    <w:next w:val="Normln"/>
    <w:link w:val="NzevChar"/>
    <w:uiPriority w:val="10"/>
    <w:qFormat/>
    <w:rsid w:val="003C6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C646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C646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C646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C646B"/>
    <w:pPr>
      <w:spacing w:before="160"/>
      <w:jc w:val="center"/>
    </w:pPr>
    <w:rPr>
      <w:i/>
      <w:iCs/>
      <w:color w:val="404040" w:themeColor="text1" w:themeTint="BF"/>
    </w:rPr>
  </w:style>
  <w:style w:type="character" w:customStyle="1" w:styleId="CittChar">
    <w:name w:val="Citát Char"/>
    <w:basedOn w:val="Standardnpsmoodstavce"/>
    <w:link w:val="Citt"/>
    <w:uiPriority w:val="29"/>
    <w:rsid w:val="003C646B"/>
    <w:rPr>
      <w:i/>
      <w:iCs/>
      <w:color w:val="404040" w:themeColor="text1" w:themeTint="BF"/>
    </w:rPr>
  </w:style>
  <w:style w:type="paragraph" w:styleId="Odstavecseseznamem">
    <w:name w:val="List Paragraph"/>
    <w:basedOn w:val="Normln"/>
    <w:uiPriority w:val="34"/>
    <w:qFormat/>
    <w:rsid w:val="003C646B"/>
    <w:pPr>
      <w:ind w:left="720"/>
      <w:contextualSpacing/>
    </w:pPr>
  </w:style>
  <w:style w:type="character" w:styleId="Zdraznnintenzivn">
    <w:name w:val="Intense Emphasis"/>
    <w:basedOn w:val="Standardnpsmoodstavce"/>
    <w:uiPriority w:val="21"/>
    <w:qFormat/>
    <w:rsid w:val="003C646B"/>
    <w:rPr>
      <w:i/>
      <w:iCs/>
      <w:color w:val="0F4761" w:themeColor="accent1" w:themeShade="BF"/>
    </w:rPr>
  </w:style>
  <w:style w:type="paragraph" w:styleId="Vrazncitt">
    <w:name w:val="Intense Quote"/>
    <w:basedOn w:val="Normln"/>
    <w:next w:val="Normln"/>
    <w:link w:val="VrazncittChar"/>
    <w:uiPriority w:val="30"/>
    <w:qFormat/>
    <w:rsid w:val="003C64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C646B"/>
    <w:rPr>
      <w:i/>
      <w:iCs/>
      <w:color w:val="0F4761" w:themeColor="accent1" w:themeShade="BF"/>
    </w:rPr>
  </w:style>
  <w:style w:type="character" w:styleId="Odkazintenzivn">
    <w:name w:val="Intense Reference"/>
    <w:basedOn w:val="Standardnpsmoodstavce"/>
    <w:uiPriority w:val="32"/>
    <w:qFormat/>
    <w:rsid w:val="003C646B"/>
    <w:rPr>
      <w:b/>
      <w:bCs/>
      <w:smallCaps/>
      <w:color w:val="0F4761" w:themeColor="accent1" w:themeShade="BF"/>
      <w:spacing w:val="5"/>
    </w:rPr>
  </w:style>
  <w:style w:type="paragraph" w:styleId="Zhlav">
    <w:name w:val="header"/>
    <w:basedOn w:val="Normln"/>
    <w:link w:val="ZhlavChar"/>
    <w:uiPriority w:val="99"/>
    <w:semiHidden/>
    <w:unhideWhenUsed/>
    <w:rsid w:val="003C646B"/>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C646B"/>
  </w:style>
  <w:style w:type="paragraph" w:styleId="Zpat">
    <w:name w:val="footer"/>
    <w:basedOn w:val="Normln"/>
    <w:link w:val="ZpatChar"/>
    <w:uiPriority w:val="99"/>
    <w:semiHidden/>
    <w:unhideWhenUsed/>
    <w:rsid w:val="003C646B"/>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3C646B"/>
  </w:style>
  <w:style w:type="paragraph" w:styleId="Revize">
    <w:name w:val="Revision"/>
    <w:hidden/>
    <w:uiPriority w:val="99"/>
    <w:semiHidden/>
    <w:rsid w:val="007D76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1732</Words>
  <Characters>10220</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Kapras Jiří JUDr. Ph.D.</dc:creator>
  <cp:keywords/>
  <dc:description/>
  <cp:lastModifiedBy>Irena Válová</cp:lastModifiedBy>
  <cp:revision>2</cp:revision>
  <dcterms:created xsi:type="dcterms:W3CDTF">2026-09-15T14:18:00Z</dcterms:created>
  <dcterms:modified xsi:type="dcterms:W3CDTF">2026-09-15T14:18:00Z</dcterms:modified>
</cp:coreProperties>
</file>